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Lào Cai</w:t>
      </w:r>
    </w:p>
    <w:p w14:paraId="7CD7B812">
      <w:pPr>
        <w:jc w:val="center"/>
        <w:rPr>
          <w:bCs/>
          <w:i/>
          <w:iCs/>
          <w:sz w:val="26"/>
          <w:szCs w:val="26"/>
        </w:rPr>
      </w:pPr>
      <w:r>
        <w:rPr>
          <w:bCs/>
          <w:sz w:val="26"/>
          <w:szCs w:val="26"/>
          <w:lang w:val="en-ZW" w:eastAsia="ja-JP"/>
        </w:rPr>
        <w:t>(Kèm theo Báo cáo số: ......... ngày ......... của UBND Tỉnh Lào Cai)</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b/>
                <w:bCs/>
                <w:iCs/>
                <w:sz w:val="20"/>
                <w:szCs w:val="20"/>
              </w:rPr>
              <w:t>Ý kiến của Bộ K</w:t>
            </w:r>
            <w:r>
              <w:rPr>
                <w:rFonts w:hint="default"/>
                <w:b/>
                <w:bCs/>
                <w:iCs/>
                <w:sz w:val="20"/>
                <w:szCs w:val="20"/>
                <w:lang w:val="en-US"/>
              </w:rPr>
              <w:t>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4C65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787B3AA2">
            <w:pPr>
              <w:ind w:left="1080"/>
              <w:jc w:val="center"/>
              <w:rPr>
                <w:b/>
                <w:sz w:val="26"/>
                <w:szCs w:val="26"/>
              </w:rPr>
            </w:pPr>
            <w:r>
              <w:rPr>
                <w:b/>
                <w:sz w:val="26"/>
                <w:szCs w:val="26"/>
              </w:rPr>
              <w:t>I. KHOA HỌC VÀ CÔNG NGHỆ</w:t>
            </w:r>
          </w:p>
        </w:tc>
      </w:tr>
      <w:tr w14:paraId="1EFD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8E5E50A">
            <w:pPr>
              <w:jc w:val="center"/>
              <w:rPr>
                <w:bCs/>
                <w:iCs/>
                <w:sz w:val="26"/>
                <w:szCs w:val="26"/>
              </w:rPr>
            </w:pPr>
            <w:r>
              <w:rPr>
                <w:bCs/>
                <w:iCs/>
                <w:sz w:val="26"/>
                <w:szCs w:val="26"/>
              </w:rPr>
              <w:t>1.</w:t>
            </w:r>
          </w:p>
        </w:tc>
        <w:tc>
          <w:tcPr>
            <w:tcW w:w="1848" w:type="dxa"/>
            <w:vAlign w:val="center"/>
          </w:tcPr>
          <w:p w14:paraId="716FBFF6">
            <w:pPr>
              <w:jc w:val="both"/>
              <w:rPr>
                <w:bCs/>
                <w:iCs/>
                <w:sz w:val="26"/>
                <w:szCs w:val="26"/>
              </w:rPr>
            </w:pPr>
            <w:r>
              <w:rPr>
                <w:bCs/>
                <w:iCs/>
                <w:sz w:val="26"/>
                <w:szCs w:val="26"/>
              </w:rPr>
              <w:t>Nghị quyết số 06/2023/NQ-HĐND ngày 06/07/2023 của Lào Cai Quy định một số nội dung, định mức xây dựng dự toán, mức chi đối với nhiệm vụ khoa học và công nghệ có sử dụng ngân sách nhà nước trên địa bàn tỉnh Lào Cai</w:t>
            </w:r>
          </w:p>
        </w:tc>
        <w:tc>
          <w:tcPr>
            <w:tcW w:w="2121" w:type="dxa"/>
            <w:vAlign w:val="center"/>
          </w:tcPr>
          <w:p w14:paraId="6A996EB2">
            <w:pPr>
              <w:jc w:val="both"/>
              <w:rPr>
                <w:bCs/>
                <w:iCs/>
                <w:sz w:val="26"/>
                <w:szCs w:val="26"/>
              </w:rPr>
            </w:pPr>
            <w:r>
              <w:rPr>
                <w:bCs/>
                <w:iCs/>
                <w:sz w:val="26"/>
                <w:szCs w:val="26"/>
              </w:rPr>
              <w:t>1. Nghị quyết số 202/2025/QH15 ngày 12/6/2025 của Quốc hội về việc sắp xếp đơn vị hành chính cấp tỉnh;</w:t>
            </w:r>
            <w:r>
              <w:rPr>
                <w:bCs/>
                <w:iCs/>
                <w:sz w:val="26"/>
                <w:szCs w:val="26"/>
              </w:rPr>
              <w:br w:type="textWrapping"/>
            </w:r>
            <w:r>
              <w:rPr>
                <w:bCs/>
                <w:iCs/>
                <w:sz w:val="26"/>
                <w:szCs w:val="26"/>
              </w:rPr>
              <w:t>2. Nghị quyết số 57-NQ/TW ngày 24 tháng 12 năm 2024 của Bộ Chính trị về đột phá phát triển khoa học, công nghệ và đổi mới sáng tạo và chuyển đổi số quốc gia;</w:t>
            </w:r>
            <w:r>
              <w:rPr>
                <w:bCs/>
                <w:iCs/>
                <w:sz w:val="26"/>
                <w:szCs w:val="26"/>
              </w:rPr>
              <w:br w:type="textWrapping"/>
            </w:r>
            <w:r>
              <w:rPr>
                <w:bCs/>
                <w:iCs/>
                <w:sz w:val="26"/>
                <w:szCs w:val="26"/>
              </w:rPr>
              <w:t>3. Luật Khoa học, Công nghệ và Đổi mới sáng tạo số 93/2025/QH15;</w:t>
            </w:r>
            <w:r>
              <w:rPr>
                <w:bCs/>
                <w:iCs/>
                <w:sz w:val="26"/>
                <w:szCs w:val="26"/>
              </w:rPr>
              <w:br w:type="textWrapping"/>
            </w:r>
            <w:r>
              <w:rPr>
                <w:bCs/>
                <w:iCs/>
                <w:sz w:val="26"/>
                <w:szCs w:val="26"/>
              </w:rPr>
              <w:t>4. Thông tư số 38/2025/TT-BKHCN về quy định về lập dự toán, quản lý sử dụng và quyết toán kinh phí ngân sách nhà nước đối với một số nội dung chi quản lý hoạt động khoa học, công nghệ và đổi mới sáng tạo;</w:t>
            </w:r>
            <w:r>
              <w:rPr>
                <w:bCs/>
                <w:iCs/>
                <w:sz w:val="26"/>
                <w:szCs w:val="26"/>
              </w:rPr>
              <w:br w:type="textWrapping"/>
            </w:r>
            <w:r>
              <w:rPr>
                <w:bCs/>
                <w:iCs/>
                <w:sz w:val="26"/>
                <w:szCs w:val="26"/>
              </w:rPr>
              <w:t>5. Thông tư số 39/2025/TT-BKHCN về quy định chi tiết và hướng dẫn về lập dự toán, quản lý sử dụng và quyết toán một số nội dung chi ngân sách nhà nước thực hiện nhiệm vụ khoa học, công nghệ và đổi mới sáng tạo;</w:t>
            </w:r>
          </w:p>
        </w:tc>
        <w:tc>
          <w:tcPr>
            <w:tcW w:w="4003" w:type="dxa"/>
            <w:vAlign w:val="center"/>
          </w:tcPr>
          <w:p w14:paraId="1D6C9092">
            <w:pPr>
              <w:jc w:val="both"/>
              <w:rPr>
                <w:bCs/>
                <w:iCs/>
                <w:sz w:val="26"/>
                <w:szCs w:val="26"/>
              </w:rPr>
            </w:pPr>
            <w:r>
              <w:rPr>
                <w:bCs/>
                <w:iCs/>
                <w:sz w:val="26"/>
                <w:szCs w:val="26"/>
              </w:rPr>
              <w:t>1. Đến thời điểm rà soát, một số văn bản làm căn cứ ban hành Nghị quyết đã hết hiệu lực.</w:t>
            </w:r>
            <w:r>
              <w:rPr>
                <w:bCs/>
                <w:iCs/>
                <w:sz w:val="26"/>
                <w:szCs w:val="26"/>
              </w:rPr>
              <w:br w:type="textWrapping"/>
            </w:r>
            <w:r>
              <w:rPr>
                <w:bCs/>
                <w:iCs/>
                <w:sz w:val="26"/>
                <w:szCs w:val="26"/>
              </w:rPr>
              <w:t xml:space="preserve">2. Nghị quyết quy định về mức chi chưa đầy đủ các nội dung mới được đề cập trong Nghị quyết số 57-NQ/TW  về “Cải cách mạnh mẽ quản lý nhiệm vụ khoa học, công nghệ và đổi mới sáng tạo, đơn giản hóa thủ tục hành chính, giao quyền tự chủ, chấp nhận rủi ro trong nghiên cứu” và các nội dung theo Luật Khoa học, Công nghệ và Đổi mới sáng tạo; Thông tư số 39/2025/TT-BKHCN của Bộ trưởng Bộ Khoa học và Công nghệ. </w:t>
            </w:r>
            <w:r>
              <w:rPr>
                <w:bCs/>
                <w:iCs/>
                <w:sz w:val="26"/>
                <w:szCs w:val="26"/>
              </w:rPr>
              <w:br w:type="textWrapping"/>
            </w:r>
            <w:r>
              <w:rPr>
                <w:bCs/>
                <w:iCs/>
                <w:sz w:val="26"/>
                <w:szCs w:val="26"/>
              </w:rPr>
              <w:t>- Khoản 3 Điều 3 Thông tư số 39/2025/TTBKHCN quy định: “Căn cứ yêu cầu nhiệm vụ, tình hình thực tế, Ủy ban nhân dân cấp tỉnh trình Hội đồng nhân dân cấp tỉnh quyết định các chế độ chi ngân sách đối với một số nhiệm vụ chi có tính chất đặc thù ở địa phương ngoài các nội dung, định mức chi quy định tại Thông tư này để thực hiện nhiệm vụ phát triển kinh tế - xã hội, bảo đảm trật tự, an toàn xã hội trên địa bàn bảo đảm hiệu quả, phù hợp với khả năng cân đối ngân sách địa phương theo đúng quy định của Luật Ngân sách nhà nước và các văn bản hướng dẫn”. Việc ban hành Nghị quyết thay thế Nghị quyết số 06/2023/NQ-HĐND là phù hợp với quy định của pháp luật hiện hành.</w:t>
            </w:r>
          </w:p>
        </w:tc>
        <w:tc>
          <w:tcPr>
            <w:tcW w:w="1417" w:type="dxa"/>
            <w:vAlign w:val="center"/>
          </w:tcPr>
          <w:p w14:paraId="75142E98">
            <w:pPr>
              <w:jc w:val="both"/>
              <w:rPr>
                <w:bCs/>
                <w:iCs/>
                <w:sz w:val="26"/>
                <w:szCs w:val="26"/>
              </w:rPr>
            </w:pPr>
            <w:r>
              <w:rPr>
                <w:bCs/>
                <w:iCs/>
                <w:sz w:val="26"/>
                <w:szCs w:val="26"/>
              </w:rPr>
              <w:t>Thay thế</w:t>
            </w:r>
          </w:p>
        </w:tc>
        <w:tc>
          <w:tcPr>
            <w:tcW w:w="1275" w:type="dxa"/>
            <w:vAlign w:val="center"/>
          </w:tcPr>
          <w:p w14:paraId="74219E6E">
            <w:pPr>
              <w:jc w:val="both"/>
              <w:rPr>
                <w:bCs/>
                <w:iCs/>
                <w:sz w:val="26"/>
                <w:szCs w:val="26"/>
              </w:rPr>
            </w:pPr>
            <w:r>
              <w:rPr>
                <w:bCs/>
                <w:iCs/>
                <w:sz w:val="26"/>
                <w:szCs w:val="26"/>
              </w:rPr>
              <w:t>Quý III/2026</w:t>
            </w:r>
          </w:p>
        </w:tc>
        <w:tc>
          <w:tcPr>
            <w:tcW w:w="1904" w:type="dxa"/>
            <w:vAlign w:val="center"/>
          </w:tcPr>
          <w:p w14:paraId="64380309">
            <w:pPr>
              <w:jc w:val="both"/>
              <w:rPr>
                <w:bCs/>
                <w:iCs/>
                <w:sz w:val="26"/>
                <w:szCs w:val="26"/>
              </w:rPr>
            </w:pPr>
            <w:r>
              <w:rPr>
                <w:bCs/>
                <w:iCs/>
                <w:sz w:val="26"/>
                <w:szCs w:val="26"/>
              </w:rPr>
              <w:t xml:space="preserve">Tiêu chí 2.3; Tiêu chí 1.2 - Tiêu chí về khoa học, công nghệ </w:t>
            </w:r>
          </w:p>
        </w:tc>
        <w:tc>
          <w:tcPr>
            <w:tcW w:w="1710" w:type="dxa"/>
            <w:shd w:val="clear"/>
            <w:vAlign w:val="top"/>
          </w:tcPr>
          <w:p w14:paraId="47E3A231">
            <w:pPr>
              <w:jc w:val="both"/>
              <w:rPr>
                <w:rFonts w:ascii="Times New Roman" w:hAnsi="Times New Roman" w:eastAsia="Times New Roman" w:cs="Times New Roman"/>
                <w:b/>
                <w:bCs/>
                <w:sz w:val="24"/>
                <w:szCs w:val="22"/>
                <w:lang w:val="en-US" w:eastAsia="en-US" w:bidi="ar-SA"/>
              </w:rPr>
            </w:pPr>
            <w:r>
              <w:rPr>
                <w:b/>
                <w:bCs/>
                <w:sz w:val="24"/>
                <w:szCs w:val="22"/>
              </w:rPr>
              <w:t xml:space="preserve"> </w:t>
            </w:r>
            <w:r>
              <w:rPr>
                <w:rFonts w:ascii="Segoe UI" w:hAnsi="Segoe UI" w:cs="Segoe UI"/>
                <w:spacing w:val="3"/>
                <w:sz w:val="23"/>
                <w:szCs w:val="23"/>
                <w:shd w:val="clear" w:color="auto" w:fill="FFFFFF"/>
              </w:rPr>
              <w:t xml:space="preserve"> </w:t>
            </w:r>
            <w:r>
              <w:rPr>
                <w:sz w:val="24"/>
                <w:szCs w:val="22"/>
              </w:rPr>
              <w:t>Cần làm rõ, hoàn thiện thêm: Đề nghị làm rõ điều, khoản có vướng mắc, bất cập, không còn phù hợp và chủ trương cụ thể cần tiếp tục thể chế hóa</w:t>
            </w:r>
          </w:p>
        </w:tc>
      </w:tr>
      <w:tr w14:paraId="53BD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F02F539">
            <w:pPr>
              <w:ind w:left="1080"/>
              <w:jc w:val="center"/>
              <w:rPr>
                <w:b/>
                <w:sz w:val="26"/>
                <w:szCs w:val="26"/>
              </w:rPr>
            </w:pPr>
            <w:r>
              <w:rPr>
                <w:b/>
                <w:sz w:val="26"/>
                <w:szCs w:val="26"/>
              </w:rPr>
              <w:t>II. NỘI VỤ</w:t>
            </w:r>
          </w:p>
        </w:tc>
      </w:tr>
      <w:tr w14:paraId="42D0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6350FC2">
            <w:pPr>
              <w:jc w:val="center"/>
              <w:rPr>
                <w:bCs/>
                <w:iCs/>
                <w:sz w:val="26"/>
                <w:szCs w:val="26"/>
              </w:rPr>
            </w:pPr>
            <w:r>
              <w:rPr>
                <w:bCs/>
                <w:iCs/>
                <w:sz w:val="26"/>
                <w:szCs w:val="26"/>
              </w:rPr>
              <w:t>1.</w:t>
            </w:r>
          </w:p>
        </w:tc>
        <w:tc>
          <w:tcPr>
            <w:tcW w:w="1848" w:type="dxa"/>
            <w:vAlign w:val="center"/>
          </w:tcPr>
          <w:p w14:paraId="775AAFF4">
            <w:pPr>
              <w:jc w:val="both"/>
              <w:rPr>
                <w:bCs/>
                <w:iCs/>
                <w:sz w:val="26"/>
                <w:szCs w:val="26"/>
              </w:rPr>
            </w:pPr>
            <w:r>
              <w:rPr>
                <w:bCs/>
                <w:iCs/>
                <w:sz w:val="26"/>
                <w:szCs w:val="26"/>
              </w:rPr>
              <w:t>Quyết định số 09/2018/QĐ-UBND ngày 27/06/2018 của UBND tỉnh Yên Bái Ban hành Quy chế tổ chức và hoạt động của thôn, tổ dân phố trên địa bàn tỉnh Yên Bái</w:t>
            </w:r>
          </w:p>
        </w:tc>
        <w:tc>
          <w:tcPr>
            <w:tcW w:w="2121" w:type="dxa"/>
            <w:vAlign w:val="center"/>
          </w:tcPr>
          <w:p w14:paraId="1EAE8B46">
            <w:pPr>
              <w:jc w:val="both"/>
              <w:rPr>
                <w:bCs/>
                <w:iCs/>
                <w:sz w:val="26"/>
                <w:szCs w:val="26"/>
              </w:rPr>
            </w:pPr>
            <w:r>
              <w:rPr>
                <w:bCs/>
                <w:iCs/>
                <w:sz w:val="26"/>
                <w:szCs w:val="26"/>
              </w:rPr>
              <w:t>Nghị định số 185/2026/NĐ-CP ngày 26/5/2026 của Chính phủ Quy định về tổ chức, hoạt động của thôn, tổ dân phố và chế độ, chính sách đối với người hoạt động không chuyên trách ở thôn, tổ dân phố</w:t>
            </w:r>
          </w:p>
        </w:tc>
        <w:tc>
          <w:tcPr>
            <w:tcW w:w="4003" w:type="dxa"/>
            <w:vAlign w:val="center"/>
          </w:tcPr>
          <w:p w14:paraId="43260567">
            <w:pPr>
              <w:jc w:val="both"/>
              <w:rPr>
                <w:bCs/>
                <w:iCs/>
                <w:sz w:val="26"/>
                <w:szCs w:val="26"/>
              </w:rPr>
            </w:pPr>
            <w:r>
              <w:rPr>
                <w:bCs/>
                <w:iCs/>
                <w:sz w:val="26"/>
                <w:szCs w:val="26"/>
              </w:rPr>
              <w:t xml:space="preserve">Điểm a khoản 1 Điều 18 Nghị định số 185/2026/NĐ-CP quy định UBND cấp tỉnh có trách nhiệm “Ban hành Quy chế tổ chức và hoạt động của thôn, tổ dân phố phù hợp với tình hình thực tế ở địa phương”. </w:t>
            </w:r>
            <w:r>
              <w:rPr>
                <w:bCs/>
                <w:iCs/>
                <w:sz w:val="26"/>
                <w:szCs w:val="26"/>
              </w:rPr>
              <w:br w:type="textWrapping"/>
            </w:r>
            <w:r>
              <w:rPr>
                <w:bCs/>
                <w:iCs/>
                <w:sz w:val="26"/>
                <w:szCs w:val="26"/>
              </w:rPr>
              <w:t>- Thu hẹp phạm vi điều chỉnh chỉ tập trung vào tổ chức, hoạt động, bãi bỏ nội dung phân loại thôn, TDP.</w:t>
            </w:r>
            <w:r>
              <w:rPr>
                <w:bCs/>
                <w:iCs/>
                <w:sz w:val="26"/>
                <w:szCs w:val="26"/>
              </w:rPr>
              <w:br w:type="textWrapping"/>
            </w:r>
            <w:r>
              <w:rPr>
                <w:bCs/>
                <w:iCs/>
                <w:sz w:val="26"/>
                <w:szCs w:val="26"/>
              </w:rPr>
              <w:t>- Bổ sung các nội dung, tiêu chuẩn về ứng dụng công nghệ thông tin, đáp ứng yêu cầu chuyển đổi số ở cơ sở.</w:t>
            </w:r>
            <w:r>
              <w:rPr>
                <w:bCs/>
                <w:iCs/>
                <w:sz w:val="26"/>
                <w:szCs w:val="26"/>
              </w:rPr>
              <w:br w:type="textWrapping"/>
            </w:r>
            <w:r>
              <w:rPr>
                <w:bCs/>
                <w:iCs/>
                <w:sz w:val="26"/>
                <w:szCs w:val="26"/>
              </w:rPr>
              <w:t>- Quy định lại về thôn, tổ dân phố phù hợp với quy định của Luật Tổ chức chính quyền địa phương số 72/2025/QH15 và Nghị định 185, bảo đảm thống nhất trong toàn tỉnh sau sáp nhập. Theo đó, cấp xã gồm: xã, phường, đặc khu.</w:t>
            </w:r>
            <w:r>
              <w:rPr>
                <w:bCs/>
                <w:iCs/>
                <w:sz w:val="26"/>
                <w:szCs w:val="26"/>
              </w:rPr>
              <w:br w:type="textWrapping"/>
            </w:r>
            <w:r>
              <w:rPr>
                <w:bCs/>
                <w:iCs/>
                <w:sz w:val="26"/>
                <w:szCs w:val="26"/>
              </w:rPr>
              <w:t>- Quy định về tổ chức và hoạt động của thôn, tổ dân phố đảm bảo thống nhất với quy định tại Nghị định 185, Luật Thực hiện dân chủ ở cơ sở.</w:t>
            </w:r>
            <w:r>
              <w:rPr>
                <w:bCs/>
                <w:iCs/>
                <w:sz w:val="26"/>
                <w:szCs w:val="26"/>
              </w:rPr>
              <w:br w:type="textWrapping"/>
            </w:r>
            <w:r>
              <w:rPr>
                <w:bCs/>
                <w:iCs/>
                <w:sz w:val="26"/>
                <w:szCs w:val="26"/>
              </w:rPr>
              <w:t>- Phân cấp cho HĐND cấp xã (hoặc UBND đặc khu) trong việc sắp xếp, tổ chức lại, đặt tên, đổi tên, ghép cụm dân cư.</w:t>
            </w:r>
          </w:p>
        </w:tc>
        <w:tc>
          <w:tcPr>
            <w:tcW w:w="1417" w:type="dxa"/>
            <w:vAlign w:val="center"/>
          </w:tcPr>
          <w:p w14:paraId="37B9A06C">
            <w:pPr>
              <w:jc w:val="both"/>
              <w:rPr>
                <w:bCs/>
                <w:iCs/>
                <w:sz w:val="26"/>
                <w:szCs w:val="26"/>
              </w:rPr>
            </w:pPr>
            <w:r>
              <w:rPr>
                <w:bCs/>
                <w:iCs/>
                <w:sz w:val="26"/>
                <w:szCs w:val="26"/>
              </w:rPr>
              <w:t>Thay thế</w:t>
            </w:r>
          </w:p>
        </w:tc>
        <w:tc>
          <w:tcPr>
            <w:tcW w:w="1275" w:type="dxa"/>
            <w:vAlign w:val="center"/>
          </w:tcPr>
          <w:p w14:paraId="19C7DC59">
            <w:pPr>
              <w:jc w:val="both"/>
              <w:rPr>
                <w:bCs/>
                <w:iCs/>
                <w:sz w:val="26"/>
                <w:szCs w:val="26"/>
              </w:rPr>
            </w:pPr>
            <w:r>
              <w:rPr>
                <w:bCs/>
                <w:iCs/>
                <w:sz w:val="26"/>
                <w:szCs w:val="26"/>
              </w:rPr>
              <w:t>Quý IV/2026</w:t>
            </w:r>
          </w:p>
        </w:tc>
        <w:tc>
          <w:tcPr>
            <w:tcW w:w="1904" w:type="dxa"/>
            <w:vAlign w:val="center"/>
          </w:tcPr>
          <w:p w14:paraId="576B4315">
            <w:pPr>
              <w:jc w:val="both"/>
              <w:rPr>
                <w:bCs/>
                <w:iCs/>
                <w:sz w:val="26"/>
                <w:szCs w:val="26"/>
              </w:rPr>
            </w:pPr>
            <w:r>
              <w:rPr>
                <w:bCs/>
                <w:iCs/>
                <w:sz w:val="26"/>
                <w:szCs w:val="26"/>
              </w:rPr>
              <w:t xml:space="preserve">Tiêu chí 2.3; Tiêu chí 1.1 - Tiêu chí về tổ chức bộ máy; Tiêu chí 1.2 - Tiêu chí về khoa học, công nghệ </w:t>
            </w:r>
          </w:p>
        </w:tc>
        <w:tc>
          <w:tcPr>
            <w:tcW w:w="1710" w:type="dxa"/>
            <w:shd w:val="clear"/>
            <w:vAlign w:val="center"/>
          </w:tcPr>
          <w:p w14:paraId="28813E48">
            <w:pPr>
              <w:jc w:val="both"/>
              <w:rPr>
                <w:rFonts w:ascii="Times New Roman" w:hAnsi="Times New Roman" w:eastAsia="Times New Roman" w:cs="Times New Roman"/>
                <w:b/>
                <w:bCs/>
                <w:sz w:val="24"/>
                <w:szCs w:val="22"/>
                <w:lang w:val="en-US" w:eastAsia="en-US" w:bidi="ar-SA"/>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1083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EBDE21F">
            <w:pPr>
              <w:jc w:val="center"/>
              <w:rPr>
                <w:bCs/>
                <w:iCs/>
                <w:sz w:val="26"/>
                <w:szCs w:val="26"/>
              </w:rPr>
            </w:pPr>
            <w:r>
              <w:rPr>
                <w:bCs/>
                <w:iCs/>
                <w:sz w:val="26"/>
                <w:szCs w:val="26"/>
              </w:rPr>
              <w:t>2.</w:t>
            </w:r>
          </w:p>
        </w:tc>
        <w:tc>
          <w:tcPr>
            <w:tcW w:w="1848" w:type="dxa"/>
            <w:vAlign w:val="center"/>
          </w:tcPr>
          <w:p w14:paraId="30AFD144">
            <w:pPr>
              <w:jc w:val="both"/>
              <w:rPr>
                <w:bCs/>
                <w:iCs/>
                <w:sz w:val="26"/>
                <w:szCs w:val="26"/>
              </w:rPr>
            </w:pPr>
            <w:r>
              <w:rPr>
                <w:bCs/>
                <w:iCs/>
                <w:sz w:val="26"/>
                <w:szCs w:val="26"/>
              </w:rPr>
              <w:t>Quyết định số 20/2020/QĐ-UBND ngày 19/06/2020 của UBND tỉnh Lào Cai Ban hành Quy định một số nội dung về đào tạo, bồi dưỡng cán bộ, công chức, viên chức, đại biểu Hội đồng nhân dân và người hoạt động không chuyên trách trên địa bàn tỉnh Lào Cai</w:t>
            </w:r>
          </w:p>
        </w:tc>
        <w:tc>
          <w:tcPr>
            <w:tcW w:w="2121" w:type="dxa"/>
            <w:vAlign w:val="center"/>
          </w:tcPr>
          <w:p w14:paraId="794C5466">
            <w:pPr>
              <w:jc w:val="both"/>
              <w:rPr>
                <w:bCs/>
                <w:iCs/>
                <w:sz w:val="26"/>
                <w:szCs w:val="26"/>
              </w:rPr>
            </w:pPr>
            <w:r>
              <w:rPr>
                <w:bCs/>
                <w:iCs/>
                <w:sz w:val="26"/>
                <w:szCs w:val="26"/>
              </w:rPr>
              <w:t>Nghị định số 171//2025/NĐ-CP ngày 30/6/2025 Quy định về đào tạo, bồi dưỡng công chức</w:t>
            </w:r>
          </w:p>
        </w:tc>
        <w:tc>
          <w:tcPr>
            <w:tcW w:w="4003" w:type="dxa"/>
            <w:vAlign w:val="center"/>
          </w:tcPr>
          <w:p w14:paraId="3F36A614">
            <w:pPr>
              <w:jc w:val="both"/>
              <w:rPr>
                <w:bCs/>
                <w:iCs/>
                <w:sz w:val="26"/>
                <w:szCs w:val="26"/>
              </w:rPr>
            </w:pPr>
            <w:r>
              <w:rPr>
                <w:bCs/>
                <w:iCs/>
                <w:sz w:val="26"/>
                <w:szCs w:val="26"/>
              </w:rPr>
              <w:t>Quy định về đào tạo, bồi dưỡng cán bộ, công chức, viên chức của hai tỉnh Lào Cai và Yên Bái trước sáp nhập khi triển khai thực hiện còn những hạn chế bất cập:</w:t>
            </w:r>
            <w:r>
              <w:rPr>
                <w:bCs/>
                <w:iCs/>
                <w:sz w:val="26"/>
                <w:szCs w:val="26"/>
              </w:rPr>
              <w:br w:type="textWrapping"/>
            </w:r>
            <w:r>
              <w:rPr>
                <w:bCs/>
                <w:iCs/>
                <w:sz w:val="26"/>
                <w:szCs w:val="26"/>
              </w:rPr>
              <w:t>-Tại các sở, ban, ngành chưa có sự phối hợp của các phòng ban chuyên môn, dẫn đến tình trạng một sở triệu tập cán bộ, công chức cấp xã đi tập huấn, bồi dưỡng nhiều khóa học trong năm (mỗi phòng chuyên môn tham mưu tổ chức 1 lớp tập huấn riêng), làm lãng phí thời gian của công chức, viên chức, lãng phí ngân sách nhà nước.</w:t>
            </w:r>
            <w:r>
              <w:rPr>
                <w:bCs/>
                <w:iCs/>
                <w:sz w:val="26"/>
                <w:szCs w:val="26"/>
              </w:rPr>
              <w:br w:type="textWrapping"/>
            </w:r>
            <w:r>
              <w:rPr>
                <w:bCs/>
                <w:iCs/>
                <w:sz w:val="26"/>
                <w:szCs w:val="26"/>
              </w:rPr>
              <w:t>- Hiện nay, các xã được trang bị hạ tầng CNTT khá tốt, 100% UBND xã có phòng họp trực tuyến (đường truyền internet, màn hình LED cỡ lớn,...). Tuy nhiên, chưa được tận dụng, khai thác trong bồi dưỡng cán bộ, công chức, viên chức cấp xã. Nhiều sở, ban, ngành vẫn triệu tập CBCCVC tham gia các lớp tập huấn, bồi dưỡng trực tiếp tại Trung tâm hành chính tỉnh, trong khi địa bàn tỉnh rộng, nhiều xã cách xa hàng trăm km, gây khó khăn cho CBCCVC khi tham gia bồi dưỡng, đồng thời lãng phí ngân sách nhà nước</w:t>
            </w:r>
            <w:r>
              <w:rPr>
                <w:bCs/>
                <w:iCs/>
                <w:sz w:val="26"/>
                <w:szCs w:val="26"/>
              </w:rPr>
              <w:br w:type="textWrapping"/>
            </w:r>
            <w:r>
              <w:rPr>
                <w:bCs/>
                <w:iCs/>
                <w:sz w:val="26"/>
                <w:szCs w:val="26"/>
              </w:rPr>
              <w:t xml:space="preserve">- Sau khi thực hiện mô hình chính quyền địa phương 2 cấp, Chính phủ Nghị định số 171//2025/NĐ-CP ngày 30/6/2025 Quy định về đào tạo, bồi dưỡng công chức, thay thế các nội dung về ĐTBD công chức tại Nghị định 101/2017/NĐ-CP. Một số nội dung trong quy định hiện hành của tỉnh không phù hợp với quy định mới của Chính phủ: </w:t>
            </w:r>
            <w:r>
              <w:rPr>
                <w:bCs/>
                <w:iCs/>
                <w:sz w:val="26"/>
                <w:szCs w:val="26"/>
              </w:rPr>
              <w:br w:type="textWrapping"/>
            </w:r>
            <w:r>
              <w:rPr>
                <w:bCs/>
                <w:iCs/>
                <w:sz w:val="26"/>
                <w:szCs w:val="26"/>
              </w:rPr>
              <w:t xml:space="preserve">- Sửa đổi phạm vi điều chỉnh: không áp dụng đối với đào tạo lý luận chính trị theo Quy định số 350-QĐ/TW ngày 29/8/2025 của Ban Bí thư; đào tạo, bồi dưỡng cán bộ, công chức, viên chức, người lao động thuộc các cơ quan ngành dọc của Trung ương đóng trên địa bàn tỉnh. </w:t>
            </w:r>
            <w:r>
              <w:rPr>
                <w:bCs/>
                <w:iCs/>
                <w:sz w:val="26"/>
                <w:szCs w:val="26"/>
              </w:rPr>
              <w:br w:type="textWrapping"/>
            </w:r>
            <w:r>
              <w:rPr>
                <w:bCs/>
                <w:iCs/>
                <w:sz w:val="26"/>
                <w:szCs w:val="26"/>
              </w:rPr>
              <w:t>- sửa đổi đối tượng áp dụng: bỏ các đối tượng CBCCVC thuộc khối Đảng, đoàn thể và CBCCVC cấp huyện.</w:t>
            </w:r>
            <w:r>
              <w:rPr>
                <w:bCs/>
                <w:iCs/>
                <w:sz w:val="26"/>
                <w:szCs w:val="26"/>
              </w:rPr>
              <w:br w:type="textWrapping"/>
            </w:r>
            <w:r>
              <w:rPr>
                <w:bCs/>
                <w:iCs/>
                <w:sz w:val="26"/>
                <w:szCs w:val="26"/>
              </w:rPr>
              <w:t>- bổ sung nguyên tắc tăng cường ứng dụng công nghệ thông tin, chuyển đổi số trong đào tạo, bồi dưỡng.</w:t>
            </w:r>
            <w:r>
              <w:rPr>
                <w:bCs/>
                <w:iCs/>
                <w:sz w:val="26"/>
                <w:szCs w:val="26"/>
              </w:rPr>
              <w:br w:type="textWrapping"/>
            </w:r>
            <w:r>
              <w:rPr>
                <w:bCs/>
                <w:iCs/>
                <w:sz w:val="26"/>
                <w:szCs w:val="26"/>
              </w:rPr>
              <w:t>- bãi bỏ, bổ sung một số quy định khác về đào tạo, bồi dưỡng để phù hợp với tình hình thực tiễn và quy định của các văn bản liên quan.</w:t>
            </w:r>
          </w:p>
        </w:tc>
        <w:tc>
          <w:tcPr>
            <w:tcW w:w="1417" w:type="dxa"/>
            <w:vAlign w:val="center"/>
          </w:tcPr>
          <w:p w14:paraId="5E1141A3">
            <w:pPr>
              <w:jc w:val="both"/>
              <w:rPr>
                <w:bCs/>
                <w:iCs/>
                <w:sz w:val="26"/>
                <w:szCs w:val="26"/>
              </w:rPr>
            </w:pPr>
            <w:r>
              <w:rPr>
                <w:bCs/>
                <w:iCs/>
                <w:sz w:val="26"/>
                <w:szCs w:val="26"/>
              </w:rPr>
              <w:t>Thay thế</w:t>
            </w:r>
          </w:p>
        </w:tc>
        <w:tc>
          <w:tcPr>
            <w:tcW w:w="1275" w:type="dxa"/>
            <w:vAlign w:val="center"/>
          </w:tcPr>
          <w:p w14:paraId="2ABE4CDF">
            <w:pPr>
              <w:jc w:val="both"/>
              <w:rPr>
                <w:bCs/>
                <w:iCs/>
                <w:sz w:val="26"/>
                <w:szCs w:val="26"/>
              </w:rPr>
            </w:pPr>
            <w:r>
              <w:rPr>
                <w:bCs/>
                <w:iCs/>
                <w:sz w:val="26"/>
                <w:szCs w:val="26"/>
              </w:rPr>
              <w:t xml:space="preserve">Quý </w:t>
            </w:r>
            <w:bookmarkStart w:id="3" w:name="_GoBack"/>
            <w:bookmarkEnd w:id="3"/>
            <w:r>
              <w:rPr>
                <w:bCs/>
                <w:iCs/>
                <w:sz w:val="26"/>
                <w:szCs w:val="26"/>
              </w:rPr>
              <w:t>III/2026</w:t>
            </w:r>
          </w:p>
        </w:tc>
        <w:tc>
          <w:tcPr>
            <w:tcW w:w="1904" w:type="dxa"/>
            <w:vAlign w:val="center"/>
          </w:tcPr>
          <w:p w14:paraId="51ED45F5">
            <w:pPr>
              <w:jc w:val="both"/>
              <w:rPr>
                <w:bCs/>
                <w:iCs/>
                <w:sz w:val="26"/>
                <w:szCs w:val="26"/>
              </w:rPr>
            </w:pPr>
            <w:r>
              <w:rPr>
                <w:bCs/>
                <w:iCs/>
                <w:sz w:val="26"/>
                <w:szCs w:val="26"/>
              </w:rPr>
              <w:t xml:space="preserve">Tiêu chí 2.3; Tiêu chí 1.2 - Tiêu chí về khoa học, công nghệ </w:t>
            </w:r>
          </w:p>
        </w:tc>
        <w:tc>
          <w:tcPr>
            <w:tcW w:w="1710" w:type="dxa"/>
            <w:shd w:val="clear"/>
            <w:vAlign w:val="bottom"/>
          </w:tcPr>
          <w:p w14:paraId="36E8A38F">
            <w:pPr>
              <w:jc w:val="both"/>
              <w:rPr>
                <w:rFonts w:ascii="Times New Roman" w:hAnsi="Times New Roman" w:eastAsia="Times New Roman" w:cs="Times New Roman"/>
                <w:sz w:val="24"/>
                <w:szCs w:val="22"/>
                <w:lang w:val="en-US" w:eastAsia="en-US" w:bidi="ar-SA"/>
              </w:rPr>
            </w:pPr>
            <w:r>
              <w:rPr>
                <w:sz w:val="24"/>
                <w:szCs w:val="22"/>
              </w:rPr>
              <w:t>Cần làm rõ, hoàn thiện thêm : Đề nghị làm rõ điều, khoản có vướng mắc, bất cập, không còn phù hợp và chủ trương cụ thể cần tiếp tục thể chế hóa</w:t>
            </w:r>
          </w:p>
        </w:tc>
      </w:tr>
      <w:tr w14:paraId="5E78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F0E861">
            <w:pPr>
              <w:jc w:val="center"/>
              <w:rPr>
                <w:bCs/>
                <w:iCs/>
                <w:sz w:val="26"/>
                <w:szCs w:val="26"/>
              </w:rPr>
            </w:pPr>
            <w:r>
              <w:rPr>
                <w:bCs/>
                <w:iCs/>
                <w:sz w:val="26"/>
                <w:szCs w:val="26"/>
              </w:rPr>
              <w:t>3.</w:t>
            </w:r>
          </w:p>
        </w:tc>
        <w:tc>
          <w:tcPr>
            <w:tcW w:w="1848" w:type="dxa"/>
            <w:vAlign w:val="center"/>
          </w:tcPr>
          <w:p w14:paraId="3D82BD97">
            <w:pPr>
              <w:jc w:val="both"/>
              <w:rPr>
                <w:bCs/>
                <w:iCs/>
                <w:sz w:val="26"/>
                <w:szCs w:val="26"/>
              </w:rPr>
            </w:pPr>
            <w:r>
              <w:rPr>
                <w:bCs/>
                <w:iCs/>
                <w:sz w:val="26"/>
                <w:szCs w:val="26"/>
              </w:rPr>
              <w:t>Quyết định số 06/2024/QĐ-UBND ngày 07/02/2024 của UBND tỉnh Lào Cai Ban hành Quy chế quản lý, cập nhật, khai thác, sử dụng và phê duyệt dữ liệu trên Phần mềm quản lý Cơ sở dữ liệu cán bộ, công chức, viên chức, người lao động tỉnh Lào Cai</w:t>
            </w:r>
          </w:p>
        </w:tc>
        <w:tc>
          <w:tcPr>
            <w:tcW w:w="2121" w:type="dxa"/>
            <w:vAlign w:val="center"/>
          </w:tcPr>
          <w:p w14:paraId="2BD6438C">
            <w:pPr>
              <w:jc w:val="both"/>
              <w:rPr>
                <w:bCs/>
                <w:iCs/>
                <w:sz w:val="26"/>
                <w:szCs w:val="26"/>
              </w:rPr>
            </w:pPr>
            <w:r>
              <w:rPr>
                <w:bCs/>
                <w:iCs/>
                <w:sz w:val="26"/>
                <w:szCs w:val="26"/>
              </w:rPr>
              <w:t>Nghị định số 27/2026/NĐ-CP ngày 19 tháng 01 năm 2026 của Chính phủ quy định về Cơ sở dữ liệu quốc gia về cán bộ, công chức, viên chức</w:t>
            </w:r>
          </w:p>
        </w:tc>
        <w:tc>
          <w:tcPr>
            <w:tcW w:w="4003" w:type="dxa"/>
            <w:vAlign w:val="center"/>
          </w:tcPr>
          <w:p w14:paraId="2A7F8ECA">
            <w:pPr>
              <w:jc w:val="both"/>
              <w:rPr>
                <w:bCs/>
                <w:iCs/>
                <w:sz w:val="26"/>
                <w:szCs w:val="26"/>
              </w:rPr>
            </w:pPr>
            <w:r>
              <w:rPr>
                <w:bCs/>
                <w:iCs/>
                <w:sz w:val="26"/>
                <w:szCs w:val="26"/>
              </w:rPr>
              <w:t>Sau khi thực hiện sắp xếp đơn vị hành chính cấp tỉnh và tổ chức chính quyền địa phương theo mô hình hai cấp, việc quản lý tập trung dữ liệu CBCCVC, NLĐ đặt ra nhu cầu phải hợp nhất cơ sở dữ liệu của tỉnh Lào Cai (trước đây) và tỉnh Yên Bái (trước đây) thành một hệ thống thống nhất. Sở Nội vụ đã chủ trì, phối hợp với các cơ quan, đơn vị liên quan xây dựng Phần mềm quản lý Cơ sở dữ liệu CBCCVC. Quy mô dữ liệu lớn, phạm vi quản lý rộng và số lượng đơn vị tham gia khai thác, cập nhật thường xuyên đã làm phát sinh nhiều quan hệ trong quản lý, vận hành hệ thống như: phân quyền quản trị; cập nhật, phê duyệt dữ liệu; khai thác, sử dụng thông tin; bảo đảm an toàn, bảo mật dữ liệu; trách nhiệm của cơ quan quản lý, cơ quan sử dụng và cá nhân được giao quản lý hồ sơ điện tử. Những quan hệ này cần được điều chỉnh thống nhất nhằm bảo đảm việc quản lý dữ liệu được an toàn, chính xác, kịp thời và hiệu quả.</w:t>
            </w:r>
          </w:p>
        </w:tc>
        <w:tc>
          <w:tcPr>
            <w:tcW w:w="1417" w:type="dxa"/>
            <w:vAlign w:val="center"/>
          </w:tcPr>
          <w:p w14:paraId="0C2C8D45">
            <w:pPr>
              <w:jc w:val="both"/>
              <w:rPr>
                <w:bCs/>
                <w:iCs/>
                <w:sz w:val="26"/>
                <w:szCs w:val="26"/>
              </w:rPr>
            </w:pPr>
            <w:r>
              <w:rPr>
                <w:bCs/>
                <w:iCs/>
                <w:sz w:val="26"/>
                <w:szCs w:val="26"/>
              </w:rPr>
              <w:t>Thay thế</w:t>
            </w:r>
          </w:p>
        </w:tc>
        <w:tc>
          <w:tcPr>
            <w:tcW w:w="1275" w:type="dxa"/>
            <w:vAlign w:val="center"/>
          </w:tcPr>
          <w:p w14:paraId="28E77FE6">
            <w:pPr>
              <w:jc w:val="both"/>
              <w:rPr>
                <w:bCs/>
                <w:iCs/>
                <w:sz w:val="26"/>
                <w:szCs w:val="26"/>
              </w:rPr>
            </w:pPr>
            <w:r>
              <w:rPr>
                <w:bCs/>
                <w:iCs/>
                <w:sz w:val="26"/>
                <w:szCs w:val="26"/>
              </w:rPr>
              <w:t>Trong Quý III/2026</w:t>
            </w:r>
          </w:p>
        </w:tc>
        <w:tc>
          <w:tcPr>
            <w:tcW w:w="1904" w:type="dxa"/>
            <w:vAlign w:val="center"/>
          </w:tcPr>
          <w:p w14:paraId="3AADF555">
            <w:pPr>
              <w:jc w:val="both"/>
              <w:rPr>
                <w:bCs/>
                <w:iCs/>
                <w:sz w:val="26"/>
                <w:szCs w:val="26"/>
              </w:rPr>
            </w:pPr>
            <w:r>
              <w:rPr>
                <w:bCs/>
                <w:iCs/>
                <w:sz w:val="26"/>
                <w:szCs w:val="26"/>
              </w:rPr>
              <w:t xml:space="preserve">Tiêu chí 2.3; Tiêu chí 1.2 - Tiêu chí về khoa học, công nghệ </w:t>
            </w:r>
          </w:p>
        </w:tc>
        <w:tc>
          <w:tcPr>
            <w:tcW w:w="1710" w:type="dxa"/>
            <w:shd w:val="clear"/>
            <w:vAlign w:val="top"/>
          </w:tcPr>
          <w:p w14:paraId="309E8004">
            <w:pPr>
              <w:jc w:val="both"/>
              <w:rPr>
                <w:rFonts w:ascii="Times New Roman" w:hAnsi="Times New Roman" w:eastAsia="Times New Roman" w:cs="Times New Roman"/>
                <w:sz w:val="24"/>
                <w:szCs w:val="22"/>
                <w:lang w:val="en-US" w:eastAsia="en-US" w:bidi="ar-SA"/>
              </w:rPr>
            </w:pPr>
            <w:r>
              <w:rPr>
                <w:sz w:val="24"/>
                <w:szCs w:val="22"/>
              </w:rPr>
              <w:t>Cần làm rõ, hoàn thiện thêm: Đề nghị làm rõ điều, khoản có vướng mắc, bất cập, không còn phù hợp và chủ trương cụ thể cần tiếp tục thể chế hóa</w:t>
            </w:r>
          </w:p>
        </w:tc>
      </w:tr>
      <w:tr w14:paraId="1F5E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D3BEBCC">
            <w:pPr>
              <w:jc w:val="center"/>
              <w:rPr>
                <w:bCs/>
                <w:iCs/>
                <w:sz w:val="26"/>
                <w:szCs w:val="26"/>
              </w:rPr>
            </w:pPr>
            <w:r>
              <w:rPr>
                <w:bCs/>
                <w:iCs/>
                <w:sz w:val="26"/>
                <w:szCs w:val="26"/>
              </w:rPr>
              <w:t>4.</w:t>
            </w:r>
          </w:p>
        </w:tc>
        <w:tc>
          <w:tcPr>
            <w:tcW w:w="1848" w:type="dxa"/>
            <w:vAlign w:val="center"/>
          </w:tcPr>
          <w:p w14:paraId="1B5DD1A5">
            <w:pPr>
              <w:jc w:val="both"/>
              <w:rPr>
                <w:bCs/>
                <w:iCs/>
                <w:sz w:val="26"/>
                <w:szCs w:val="26"/>
              </w:rPr>
            </w:pPr>
            <w:r>
              <w:rPr>
                <w:bCs/>
                <w:iCs/>
                <w:sz w:val="26"/>
                <w:szCs w:val="26"/>
              </w:rPr>
              <w:t>Quyết định số 09/2025/QĐ-UBND ngày 23/01/2025 của UBND tỉnh Lào Cai Ban hành Quy chế tổ chức, hoạt động và phân loại thôn, tổ dân phố trên địa bàn tỉnh Lào Cai</w:t>
            </w:r>
          </w:p>
        </w:tc>
        <w:tc>
          <w:tcPr>
            <w:tcW w:w="2121" w:type="dxa"/>
            <w:vAlign w:val="center"/>
          </w:tcPr>
          <w:p w14:paraId="5AD4FD34">
            <w:pPr>
              <w:jc w:val="both"/>
              <w:rPr>
                <w:bCs/>
                <w:iCs/>
                <w:sz w:val="26"/>
                <w:szCs w:val="26"/>
              </w:rPr>
            </w:pPr>
            <w:r>
              <w:rPr>
                <w:bCs/>
                <w:iCs/>
                <w:sz w:val="26"/>
                <w:szCs w:val="26"/>
              </w:rPr>
              <w:t>Nghị định số 185/2026/NĐ-CP ngày 26/5/2026 của Chính phủ Quy định về tổ chức, hoạt động của thôn, tổ dân phố và chế độ, chính sách đối với người hoạt động không chuyên trách ở thôn, tổ dân phố</w:t>
            </w:r>
          </w:p>
        </w:tc>
        <w:tc>
          <w:tcPr>
            <w:tcW w:w="4003" w:type="dxa"/>
            <w:vAlign w:val="center"/>
          </w:tcPr>
          <w:p w14:paraId="6ECA8824">
            <w:pPr>
              <w:jc w:val="both"/>
              <w:rPr>
                <w:bCs/>
                <w:iCs/>
                <w:sz w:val="26"/>
                <w:szCs w:val="26"/>
              </w:rPr>
            </w:pPr>
            <w:r>
              <w:rPr>
                <w:bCs/>
                <w:iCs/>
                <w:sz w:val="26"/>
                <w:szCs w:val="26"/>
              </w:rPr>
              <w:t xml:space="preserve">Điểm a khoản 1 Điều 18 Nghị định số 185/2026/NĐ-CP quy định UBND cấp tỉnh có trách nhiệm “Ban hành Quy chế tổ chức và hoạt động của thôn, tổ dân phố phù hợp với tình hình thực tế ở địa phương”. </w:t>
            </w:r>
            <w:r>
              <w:rPr>
                <w:bCs/>
                <w:iCs/>
                <w:sz w:val="26"/>
                <w:szCs w:val="26"/>
              </w:rPr>
              <w:br w:type="textWrapping"/>
            </w:r>
            <w:r>
              <w:rPr>
                <w:bCs/>
                <w:iCs/>
                <w:sz w:val="26"/>
                <w:szCs w:val="26"/>
              </w:rPr>
              <w:t>- Thu hẹp phạm vi điều chỉnh chỉ tập trung vào tổ chức, hoạt động, bãi bỏ nội dung phân loại thôn, TDP.</w:t>
            </w:r>
            <w:r>
              <w:rPr>
                <w:bCs/>
                <w:iCs/>
                <w:sz w:val="26"/>
                <w:szCs w:val="26"/>
              </w:rPr>
              <w:br w:type="textWrapping"/>
            </w:r>
            <w:r>
              <w:rPr>
                <w:bCs/>
                <w:iCs/>
                <w:sz w:val="26"/>
                <w:szCs w:val="26"/>
              </w:rPr>
              <w:t>- Bổ sung các nội dung, tiêu chuẩn về ứng dụng công nghệ thông tin, đáp ứng yêu cầu chuyển đổi số ở cơ sở.</w:t>
            </w:r>
            <w:r>
              <w:rPr>
                <w:bCs/>
                <w:iCs/>
                <w:sz w:val="26"/>
                <w:szCs w:val="26"/>
              </w:rPr>
              <w:br w:type="textWrapping"/>
            </w:r>
            <w:r>
              <w:rPr>
                <w:bCs/>
                <w:iCs/>
                <w:sz w:val="26"/>
                <w:szCs w:val="26"/>
              </w:rPr>
              <w:t>- Quy định lại về thôn, tổ dân phố phù hợp với quy định của Luật Tổ chức chính quyền địa phương số 72/2025/QH15 và Nghị định 185, bảo đảm thống nhất trong toàn tỉnh sau sáp nhập. Theo đó, cấp xã gồm: xã, phường, đặc khu.</w:t>
            </w:r>
            <w:r>
              <w:rPr>
                <w:bCs/>
                <w:iCs/>
                <w:sz w:val="26"/>
                <w:szCs w:val="26"/>
              </w:rPr>
              <w:br w:type="textWrapping"/>
            </w:r>
            <w:r>
              <w:rPr>
                <w:bCs/>
                <w:iCs/>
                <w:sz w:val="26"/>
                <w:szCs w:val="26"/>
              </w:rPr>
              <w:t>- Quy định về tổ chức và hoạt động của thôn, tổ dân phố đảm bảo thống nhất với quy định tại Nghị định 185, Luật Thực hiện dân chủ ở cơ sở.</w:t>
            </w:r>
            <w:r>
              <w:rPr>
                <w:bCs/>
                <w:iCs/>
                <w:sz w:val="26"/>
                <w:szCs w:val="26"/>
              </w:rPr>
              <w:br w:type="textWrapping"/>
            </w:r>
            <w:r>
              <w:rPr>
                <w:bCs/>
                <w:iCs/>
                <w:sz w:val="26"/>
                <w:szCs w:val="26"/>
              </w:rPr>
              <w:t>- Phân cấp cho HĐND cấp xã (hoặc UBND đặc khu) trong việc sắp xếp, tổ chức lại, đặt tên, đổi tên, ghép cụm dân cư.</w:t>
            </w:r>
          </w:p>
        </w:tc>
        <w:tc>
          <w:tcPr>
            <w:tcW w:w="1417" w:type="dxa"/>
            <w:vAlign w:val="center"/>
          </w:tcPr>
          <w:p w14:paraId="420BBA10">
            <w:pPr>
              <w:jc w:val="both"/>
              <w:rPr>
                <w:bCs/>
                <w:iCs/>
                <w:sz w:val="26"/>
                <w:szCs w:val="26"/>
              </w:rPr>
            </w:pPr>
            <w:r>
              <w:rPr>
                <w:bCs/>
                <w:iCs/>
                <w:sz w:val="26"/>
                <w:szCs w:val="26"/>
              </w:rPr>
              <w:t>Thay thế</w:t>
            </w:r>
          </w:p>
        </w:tc>
        <w:tc>
          <w:tcPr>
            <w:tcW w:w="1275" w:type="dxa"/>
            <w:vAlign w:val="center"/>
          </w:tcPr>
          <w:p w14:paraId="0CA879A6">
            <w:pPr>
              <w:jc w:val="both"/>
              <w:rPr>
                <w:bCs/>
                <w:iCs/>
                <w:sz w:val="26"/>
                <w:szCs w:val="26"/>
              </w:rPr>
            </w:pPr>
            <w:r>
              <w:rPr>
                <w:bCs/>
                <w:iCs/>
                <w:sz w:val="26"/>
                <w:szCs w:val="26"/>
              </w:rPr>
              <w:t>Quý IV/2026</w:t>
            </w:r>
          </w:p>
        </w:tc>
        <w:tc>
          <w:tcPr>
            <w:tcW w:w="1904" w:type="dxa"/>
            <w:vAlign w:val="center"/>
          </w:tcPr>
          <w:p w14:paraId="5BFBB6DB">
            <w:pPr>
              <w:jc w:val="both"/>
              <w:rPr>
                <w:bCs/>
                <w:iCs/>
                <w:sz w:val="26"/>
                <w:szCs w:val="26"/>
              </w:rPr>
            </w:pPr>
            <w:r>
              <w:rPr>
                <w:bCs/>
                <w:iCs/>
                <w:sz w:val="26"/>
                <w:szCs w:val="26"/>
              </w:rPr>
              <w:t xml:space="preserve">Tiêu chí 2.3; Tiêu chí 1.1 - Tiêu chí về tổ chức bộ máy; Tiêu chí 1.2 - Tiêu chí về khoa học, công nghệ </w:t>
            </w:r>
          </w:p>
        </w:tc>
        <w:tc>
          <w:tcPr>
            <w:tcW w:w="1710" w:type="dxa"/>
            <w:shd w:val="clear"/>
            <w:vAlign w:val="top"/>
          </w:tcPr>
          <w:p w14:paraId="0B171D0D">
            <w:pPr>
              <w:jc w:val="both"/>
              <w:rPr>
                <w:rFonts w:ascii="Times New Roman" w:hAnsi="Times New Roman" w:eastAsia="Times New Roman" w:cs="Times New Roman"/>
                <w:b/>
                <w:bCs/>
                <w:sz w:val="24"/>
                <w:szCs w:val="22"/>
                <w:lang w:val="en-US" w:eastAsia="en-US" w:bidi="ar-SA"/>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287D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9B36B27">
            <w:pPr>
              <w:jc w:val="center"/>
              <w:rPr>
                <w:bCs/>
                <w:iCs/>
                <w:sz w:val="26"/>
                <w:szCs w:val="26"/>
              </w:rPr>
            </w:pPr>
            <w:r>
              <w:rPr>
                <w:bCs/>
                <w:iCs/>
                <w:sz w:val="26"/>
                <w:szCs w:val="26"/>
              </w:rPr>
              <w:t>5.</w:t>
            </w:r>
          </w:p>
        </w:tc>
        <w:tc>
          <w:tcPr>
            <w:tcW w:w="1848" w:type="dxa"/>
            <w:vAlign w:val="center"/>
          </w:tcPr>
          <w:p w14:paraId="11EE9CD8">
            <w:pPr>
              <w:jc w:val="both"/>
              <w:rPr>
                <w:bCs/>
                <w:iCs/>
                <w:sz w:val="26"/>
                <w:szCs w:val="26"/>
              </w:rPr>
            </w:pPr>
            <w:r>
              <w:rPr>
                <w:bCs/>
                <w:iCs/>
                <w:sz w:val="26"/>
                <w:szCs w:val="26"/>
              </w:rPr>
              <w:t>Quyết định số 18/2026/QĐ-UBND ngày 30/03/2026 của UBND tỉnh Lào Cai Quy định một số nội dung về công tác thi đua, khen thưởng trên địa bàn tỉnh Lào Cai</w:t>
            </w:r>
          </w:p>
        </w:tc>
        <w:tc>
          <w:tcPr>
            <w:tcW w:w="2121" w:type="dxa"/>
            <w:vAlign w:val="center"/>
          </w:tcPr>
          <w:p w14:paraId="702669D4">
            <w:pPr>
              <w:jc w:val="both"/>
              <w:rPr>
                <w:bCs/>
                <w:iCs/>
                <w:sz w:val="26"/>
                <w:szCs w:val="26"/>
              </w:rPr>
            </w:pPr>
            <w:r>
              <w:rPr>
                <w:bCs/>
                <w:iCs/>
                <w:sz w:val="26"/>
                <w:szCs w:val="26"/>
              </w:rPr>
              <w:t>Luật số 06/2026/QH16 sửa đổi, bổ sung một số điều của Luật Thi đua, khen thưởng năm 2022</w:t>
            </w:r>
          </w:p>
        </w:tc>
        <w:tc>
          <w:tcPr>
            <w:tcW w:w="4003" w:type="dxa"/>
            <w:vAlign w:val="center"/>
          </w:tcPr>
          <w:p w14:paraId="4833D7FD">
            <w:pPr>
              <w:jc w:val="both"/>
              <w:rPr>
                <w:bCs/>
                <w:iCs/>
                <w:sz w:val="26"/>
                <w:szCs w:val="26"/>
              </w:rPr>
            </w:pPr>
            <w:r>
              <w:rPr>
                <w:bCs/>
                <w:iCs/>
                <w:sz w:val="26"/>
                <w:szCs w:val="26"/>
              </w:rPr>
              <w:t xml:space="preserve">Nội dung 1: Phạm vi thi đua, danh hiệu thi đua và tiêu chuẩn danh hiệu thi đua: </w:t>
            </w:r>
            <w:r>
              <w:rPr>
                <w:bCs/>
                <w:iCs/>
                <w:sz w:val="26"/>
                <w:szCs w:val="26"/>
              </w:rPr>
              <w:br w:type="textWrapping"/>
            </w:r>
            <w:r>
              <w:rPr>
                <w:bCs/>
                <w:iCs/>
                <w:sz w:val="26"/>
                <w:szCs w:val="26"/>
              </w:rPr>
              <w:t>- Sửa đổi, bổ sung tiêu chuẩn xét tặng danh hiệu xã, phường, đặc khu tiêu biểu từ “dẫn đầu phong trào thi đua cấp huyện” thành có thành tích tiêu biểu trong phong trào thi đua cấp tỉnh” và bổ sung thêm tiêu chí “sự hài lòng của tổ chức, cá nhân đối với hoạt động của chính quyền địa phương”</w:t>
            </w:r>
            <w:r>
              <w:rPr>
                <w:bCs/>
                <w:iCs/>
                <w:sz w:val="26"/>
                <w:szCs w:val="26"/>
              </w:rPr>
              <w:br w:type="textWrapping"/>
            </w:r>
            <w:r>
              <w:rPr>
                <w:bCs/>
                <w:iCs/>
                <w:sz w:val="26"/>
                <w:szCs w:val="26"/>
              </w:rPr>
              <w:t>- Sửa đổi tiêu chuẩn “tổ chức đảng, đoàn thể trong sạch, vững mạnh” thành tiêu chuẩn “ tổ chức đảng được đánh giá hoàn thành tốt nhiệm vụ trở lên đối với tiêu chuẩn tặng cờ thi đua.</w:t>
            </w:r>
            <w:r>
              <w:rPr>
                <w:bCs/>
                <w:iCs/>
                <w:sz w:val="26"/>
                <w:szCs w:val="26"/>
              </w:rPr>
              <w:br w:type="textWrapping"/>
            </w:r>
            <w:r>
              <w:rPr>
                <w:bCs/>
                <w:iCs/>
                <w:sz w:val="26"/>
                <w:szCs w:val="26"/>
              </w:rPr>
              <w:t>- Thiết kế lại tiêu chuẩn các danh hiệu chiến sỹ thi đua các cấp.</w:t>
            </w:r>
            <w:r>
              <w:rPr>
                <w:bCs/>
                <w:iCs/>
                <w:sz w:val="26"/>
                <w:szCs w:val="26"/>
              </w:rPr>
              <w:br w:type="textWrapping"/>
            </w:r>
            <w:r>
              <w:rPr>
                <w:bCs/>
                <w:iCs/>
                <w:sz w:val="26"/>
                <w:szCs w:val="26"/>
              </w:rPr>
              <w:t>Nội dung 2: Nguyên tắc, loại hình, tiêu chuẩn, thành tích khen thưởng</w:t>
            </w:r>
            <w:r>
              <w:rPr>
                <w:bCs/>
                <w:iCs/>
                <w:sz w:val="26"/>
                <w:szCs w:val="26"/>
              </w:rPr>
              <w:br w:type="textWrapping"/>
            </w:r>
            <w:r>
              <w:rPr>
                <w:bCs/>
                <w:iCs/>
                <w:sz w:val="26"/>
                <w:szCs w:val="26"/>
              </w:rPr>
              <w:t>- Bổ sung cụm từ “trừ khen thưởng công trạng” để thống nhất giữa nguyên tắc và tiêu chuẩn khen thưởng và bổ sung thêm 01 nguyên tắc khen thưởng.</w:t>
            </w:r>
            <w:r>
              <w:rPr>
                <w:bCs/>
                <w:iCs/>
                <w:sz w:val="26"/>
                <w:szCs w:val="26"/>
              </w:rPr>
              <w:br w:type="textWrapping"/>
            </w:r>
            <w:r>
              <w:rPr>
                <w:bCs/>
                <w:iCs/>
                <w:sz w:val="26"/>
                <w:szCs w:val="26"/>
              </w:rPr>
              <w:t>- Quy định riêng 02 loại hình khen thưởng “khen thưởng phòng trào thi đua theo chuyên đề” và khen thưởng chuyên đề”</w:t>
            </w:r>
            <w:r>
              <w:rPr>
                <w:bCs/>
                <w:iCs/>
                <w:sz w:val="26"/>
                <w:szCs w:val="26"/>
              </w:rPr>
              <w:br w:type="textWrapping"/>
            </w:r>
            <w:r>
              <w:rPr>
                <w:bCs/>
                <w:iCs/>
                <w:sz w:val="26"/>
                <w:szCs w:val="26"/>
              </w:rPr>
              <w:t>- Điều chỉnh tiêu chuẩn “tổ chức đảng, đoàn thể trong sạch, vững mạnh” thành tiêu chuẩn “tổ chức đảng được đánh giá hoàn thành tốt nhiệm vụ trở lên trong thời gian tính thành tích khen thưởng”…</w:t>
            </w:r>
            <w:r>
              <w:rPr>
                <w:bCs/>
                <w:iCs/>
                <w:sz w:val="26"/>
                <w:szCs w:val="26"/>
              </w:rPr>
              <w:br w:type="textWrapping"/>
            </w:r>
            <w:r>
              <w:rPr>
                <w:bCs/>
                <w:iCs/>
                <w:sz w:val="26"/>
                <w:szCs w:val="26"/>
              </w:rPr>
              <w:t>- Sửa đổi, bổ sung tiêu chuẩn một số hình thức khen thưởng khác để phù hợp với sắp xếp tổ chức bộ máy trong hệ thống chính trị và mô hình chính quyền địa phương 02 cấp.</w:t>
            </w:r>
            <w:r>
              <w:rPr>
                <w:bCs/>
                <w:iCs/>
                <w:sz w:val="26"/>
                <w:szCs w:val="26"/>
              </w:rPr>
              <w:br w:type="textWrapping"/>
            </w:r>
            <w:r>
              <w:rPr>
                <w:bCs/>
                <w:iCs/>
                <w:sz w:val="26"/>
                <w:szCs w:val="26"/>
              </w:rPr>
              <w:t>- Thống nhất thành tích khen thưởng của Đảng và các hình thức khen thưởng trong Luật TĐKT</w:t>
            </w:r>
            <w:r>
              <w:rPr>
                <w:bCs/>
                <w:iCs/>
                <w:sz w:val="26"/>
                <w:szCs w:val="26"/>
              </w:rPr>
              <w:br w:type="textWrapping"/>
            </w:r>
            <w:r>
              <w:rPr>
                <w:bCs/>
                <w:iCs/>
                <w:sz w:val="26"/>
                <w:szCs w:val="26"/>
              </w:rPr>
              <w:t>Nội dung 3: Thẩm quyền khen thưởng và đề nghị khen thưởng</w:t>
            </w:r>
            <w:r>
              <w:rPr>
                <w:bCs/>
                <w:iCs/>
                <w:sz w:val="26"/>
                <w:szCs w:val="26"/>
              </w:rPr>
              <w:br w:type="textWrapping"/>
            </w:r>
            <w:r>
              <w:rPr>
                <w:bCs/>
                <w:iCs/>
                <w:sz w:val="26"/>
                <w:szCs w:val="26"/>
              </w:rPr>
              <w:t>- Thẩm quyền quyết định tặng danh hiệu thi đua và hình thức khen thưởng của cấp xã.</w:t>
            </w:r>
            <w:r>
              <w:rPr>
                <w:bCs/>
                <w:iCs/>
                <w:sz w:val="26"/>
                <w:szCs w:val="26"/>
              </w:rPr>
              <w:br w:type="textWrapping"/>
            </w:r>
            <w:r>
              <w:rPr>
                <w:bCs/>
                <w:iCs/>
                <w:sz w:val="26"/>
                <w:szCs w:val="26"/>
              </w:rPr>
              <w:t>Nội dung 4: Phân cấp, phân quyền</w:t>
            </w:r>
            <w:r>
              <w:rPr>
                <w:bCs/>
                <w:iCs/>
                <w:sz w:val="26"/>
                <w:szCs w:val="26"/>
              </w:rPr>
              <w:br w:type="textWrapping"/>
            </w:r>
            <w:r>
              <w:rPr>
                <w:bCs/>
                <w:iCs/>
                <w:sz w:val="26"/>
                <w:szCs w:val="26"/>
              </w:rPr>
              <w:t>- Phân cấp cho tỉnh thực hiện 08 nhiệm vụ:</w:t>
            </w:r>
            <w:r>
              <w:rPr>
                <w:bCs/>
                <w:iCs/>
                <w:sz w:val="26"/>
                <w:szCs w:val="26"/>
              </w:rPr>
              <w:br w:type="textWrapping"/>
            </w:r>
            <w:r>
              <w:rPr>
                <w:bCs/>
                <w:iCs/>
                <w:sz w:val="26"/>
                <w:szCs w:val="26"/>
              </w:rPr>
              <w:t>Quy định chi tiết, hướng dẫn thủ tục cấp đổi, cấp lại hiện vật khen thưởng của các danh hiệu thi đua và hình thức khen thưởng thuộc thẩm quyền của tỉnh và của cơ quan, tổ chức, đơn vị thuộc tỉnh.</w:t>
            </w:r>
            <w:r>
              <w:rPr>
                <w:bCs/>
                <w:iCs/>
                <w:sz w:val="26"/>
                <w:szCs w:val="26"/>
              </w:rPr>
              <w:br w:type="textWrapping"/>
            </w:r>
            <w:r>
              <w:rPr>
                <w:bCs/>
                <w:iCs/>
                <w:sz w:val="26"/>
                <w:szCs w:val="26"/>
              </w:rPr>
              <w:t>Quy định chi tiết, hướng dẫn cụ thể tiêu chuẩn xét tặng bằng khen của tỉnh đối với cá nhân, tập thể, hộ gia đình.</w:t>
            </w:r>
            <w:r>
              <w:rPr>
                <w:bCs/>
                <w:iCs/>
                <w:sz w:val="26"/>
                <w:szCs w:val="26"/>
              </w:rPr>
              <w:br w:type="textWrapping"/>
            </w:r>
            <w:r>
              <w:rPr>
                <w:bCs/>
                <w:iCs/>
                <w:sz w:val="26"/>
                <w:szCs w:val="26"/>
              </w:rPr>
              <w:t>Quy định chi tiết, hướng dẫn cụ thể tiêu chuẩn xét tặng giấy khen đối với cá nhân, tập thể, hộ gia đình.</w:t>
            </w:r>
            <w:r>
              <w:rPr>
                <w:bCs/>
                <w:iCs/>
                <w:sz w:val="26"/>
                <w:szCs w:val="26"/>
              </w:rPr>
              <w:br w:type="textWrapping"/>
            </w:r>
            <w:r>
              <w:rPr>
                <w:bCs/>
                <w:iCs/>
                <w:sz w:val="26"/>
                <w:szCs w:val="26"/>
              </w:rPr>
              <w:t>- Quy định chi tiết, hướng dẫn cụ thể hồ sơ, thủ tục đề nghị xét tặng danh hiệu thi đua, hình thức khen thưởng thuộc thẩm quyền của tỉnh và của cơ quan, tổ chức, đơn vị thuộc thẩm quyền quản lý của tỉnh.</w:t>
            </w:r>
            <w:r>
              <w:rPr>
                <w:bCs/>
                <w:iCs/>
                <w:sz w:val="26"/>
                <w:szCs w:val="26"/>
              </w:rPr>
              <w:br w:type="textWrapping"/>
            </w:r>
            <w:r>
              <w:rPr>
                <w:bCs/>
                <w:iCs/>
                <w:sz w:val="26"/>
                <w:szCs w:val="26"/>
              </w:rPr>
              <w:t>- Quy định chi tiết, hướng dẫn thủ tục điều chỉnh thông tin quyết định khen thưởng thuộc thẩm quyền của tỉnh và của cơ quan, tổ chức, đơn vị thuộc tỉnh.</w:t>
            </w:r>
            <w:r>
              <w:rPr>
                <w:bCs/>
                <w:iCs/>
                <w:sz w:val="26"/>
                <w:szCs w:val="26"/>
              </w:rPr>
              <w:br w:type="textWrapping"/>
            </w:r>
            <w:r>
              <w:rPr>
                <w:bCs/>
                <w:iCs/>
                <w:sz w:val="26"/>
                <w:szCs w:val="26"/>
              </w:rPr>
              <w:t>- Quy định việc công nhận mức độ hoàn thành nhiệm vụ của cá nhân, tập thể thuộc quyền quản lý.</w:t>
            </w:r>
            <w:r>
              <w:rPr>
                <w:bCs/>
                <w:iCs/>
                <w:sz w:val="26"/>
                <w:szCs w:val="26"/>
              </w:rPr>
              <w:br w:type="textWrapping"/>
            </w:r>
            <w:r>
              <w:rPr>
                <w:bCs/>
                <w:iCs/>
                <w:sz w:val="26"/>
                <w:szCs w:val="26"/>
              </w:rPr>
              <w:t xml:space="preserve">- Quy định việc công nhận hiệu quả áp dụng, khả năng nhân rộng của sáng kiến, phạm vi ảnh hưởng của nhiệm vụ khoa học, công nghệ và đổi mới sáng tạo. </w:t>
            </w:r>
            <w:r>
              <w:rPr>
                <w:bCs/>
                <w:iCs/>
                <w:sz w:val="26"/>
                <w:szCs w:val="26"/>
              </w:rPr>
              <w:br w:type="textWrapping"/>
            </w:r>
            <w:r>
              <w:rPr>
                <w:bCs/>
                <w:iCs/>
                <w:sz w:val="26"/>
                <w:szCs w:val="26"/>
              </w:rPr>
              <w:t>Quy định chi tiết, hướng dẫn cụ thể tổ chức và hoạt động của Hội đồng Thi đua - Khen thưởng tỉnh và Hội đồng Thi đua - Khen thưởng cơ quan, tổ chức, đơn vị thuộc quyền quản lý của tỉnh.</w:t>
            </w:r>
            <w:r>
              <w:rPr>
                <w:bCs/>
                <w:iCs/>
                <w:sz w:val="26"/>
                <w:szCs w:val="26"/>
              </w:rPr>
              <w:br w:type="textWrapping"/>
            </w:r>
            <w:r>
              <w:rPr>
                <w:bCs/>
                <w:iCs/>
                <w:sz w:val="26"/>
                <w:szCs w:val="26"/>
              </w:rPr>
              <w:t>Quy định chi tiết, hướng dẫn cụ thể thủ tục hủy bỏ quyết định tặng danh hiệu thi đua hoặc hình thức khen thưởng, thu hồi hiện vật khen thưởng và tiền thưởng đối với các danh hiệu thi đua, hình thức khen thưởng thuộc thẩm quyền của tỉnh và của cơ quan, tổ chức, đơn vị thuộc quyền quản lý của tỉnh.</w:t>
            </w:r>
            <w:r>
              <w:rPr>
                <w:bCs/>
                <w:iCs/>
                <w:sz w:val="26"/>
                <w:szCs w:val="26"/>
              </w:rPr>
              <w:br w:type="textWrapping"/>
            </w:r>
            <w:r>
              <w:rPr>
                <w:bCs/>
                <w:iCs/>
                <w:sz w:val="26"/>
                <w:szCs w:val="26"/>
              </w:rPr>
              <w:t>Nội dung 5: Ứng dựng công nghệ thông tin</w:t>
            </w:r>
            <w:r>
              <w:rPr>
                <w:bCs/>
                <w:iCs/>
                <w:sz w:val="26"/>
                <w:szCs w:val="26"/>
              </w:rPr>
              <w:br w:type="textWrapping"/>
            </w:r>
            <w:r>
              <w:rPr>
                <w:bCs/>
                <w:iCs/>
                <w:sz w:val="26"/>
                <w:szCs w:val="26"/>
              </w:rPr>
              <w:t>- Giao trách nhiệm cho cơ quan QLNN về TĐKT thực hiện áp dụng CNTT, chuyển đổi số; xây dựng và vận hành cơ sở dữ liệu về TĐKT, hệ thống quản lý hồ sơ điện tử đảm bảo liên thông.</w:t>
            </w:r>
          </w:p>
        </w:tc>
        <w:tc>
          <w:tcPr>
            <w:tcW w:w="1417" w:type="dxa"/>
            <w:vAlign w:val="center"/>
          </w:tcPr>
          <w:p w14:paraId="3E4CFB6E">
            <w:pPr>
              <w:jc w:val="both"/>
              <w:rPr>
                <w:bCs/>
                <w:iCs/>
                <w:sz w:val="26"/>
                <w:szCs w:val="26"/>
              </w:rPr>
            </w:pPr>
            <w:r>
              <w:rPr>
                <w:bCs/>
                <w:iCs/>
                <w:sz w:val="26"/>
                <w:szCs w:val="26"/>
              </w:rPr>
              <w:t>Sửa đổi, bổ sung</w:t>
            </w:r>
          </w:p>
        </w:tc>
        <w:tc>
          <w:tcPr>
            <w:tcW w:w="1275" w:type="dxa"/>
            <w:vAlign w:val="center"/>
          </w:tcPr>
          <w:p w14:paraId="05AAD0E8">
            <w:pPr>
              <w:jc w:val="both"/>
              <w:rPr>
                <w:bCs/>
                <w:iCs/>
                <w:sz w:val="26"/>
                <w:szCs w:val="26"/>
              </w:rPr>
            </w:pPr>
            <w:r>
              <w:rPr>
                <w:bCs/>
                <w:iCs/>
                <w:sz w:val="26"/>
                <w:szCs w:val="26"/>
              </w:rPr>
              <w:t>Quý III năm 2026 (sau khi Chính phủ ban hành các NĐ triển khai thi hành Luật)</w:t>
            </w:r>
          </w:p>
        </w:tc>
        <w:tc>
          <w:tcPr>
            <w:tcW w:w="1904" w:type="dxa"/>
            <w:vAlign w:val="center"/>
          </w:tcPr>
          <w:p w14:paraId="714DC4D5">
            <w:pPr>
              <w:jc w:val="both"/>
              <w:rPr>
                <w:bCs/>
                <w:iCs/>
                <w:sz w:val="26"/>
                <w:szCs w:val="26"/>
              </w:rPr>
            </w:pPr>
            <w:r>
              <w:rPr>
                <w:bCs/>
                <w:iCs/>
                <w:sz w:val="26"/>
                <w:szCs w:val="26"/>
              </w:rPr>
              <w:t xml:space="preserve">Tiêu chí 2.3; Tiêu chí 1.1 - Tiêu chí về tổ chức bộ máy; Tiêu chí 1.2 - Tiêu chí về khoa học, công nghệ </w:t>
            </w:r>
          </w:p>
        </w:tc>
        <w:tc>
          <w:tcPr>
            <w:tcW w:w="1710" w:type="dxa"/>
            <w:shd w:val="clear"/>
            <w:vAlign w:val="top"/>
          </w:tcPr>
          <w:p w14:paraId="4958DE67">
            <w:pPr>
              <w:jc w:val="both"/>
              <w:rPr>
                <w:rFonts w:ascii="Times New Roman" w:hAnsi="Times New Roman" w:eastAsia="Times New Roman" w:cs="Times New Roman"/>
                <w:b/>
                <w:bCs/>
                <w:sz w:val="24"/>
                <w:szCs w:val="22"/>
                <w:lang w:val="en-US" w:eastAsia="en-US" w:bidi="ar-SA"/>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F83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7E3E4D71">
            <w:pPr>
              <w:ind w:left="1080"/>
              <w:jc w:val="center"/>
              <w:rPr>
                <w:b/>
                <w:sz w:val="26"/>
                <w:szCs w:val="26"/>
              </w:rPr>
            </w:pPr>
            <w:r>
              <w:rPr>
                <w:b/>
                <w:sz w:val="26"/>
                <w:szCs w:val="26"/>
              </w:rPr>
              <w:t>III. LĨNH VỰC KHÁC</w:t>
            </w:r>
          </w:p>
        </w:tc>
      </w:tr>
      <w:tr w14:paraId="7E86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F5E4D3">
            <w:pPr>
              <w:jc w:val="center"/>
              <w:rPr>
                <w:bCs/>
                <w:iCs/>
                <w:sz w:val="26"/>
                <w:szCs w:val="26"/>
              </w:rPr>
            </w:pPr>
            <w:r>
              <w:rPr>
                <w:bCs/>
                <w:iCs/>
                <w:sz w:val="26"/>
                <w:szCs w:val="26"/>
              </w:rPr>
              <w:t>1.</w:t>
            </w:r>
          </w:p>
        </w:tc>
        <w:tc>
          <w:tcPr>
            <w:tcW w:w="1848" w:type="dxa"/>
            <w:vAlign w:val="center"/>
          </w:tcPr>
          <w:p w14:paraId="31C50832">
            <w:pPr>
              <w:jc w:val="both"/>
              <w:rPr>
                <w:bCs/>
                <w:iCs/>
                <w:sz w:val="26"/>
                <w:szCs w:val="26"/>
              </w:rPr>
            </w:pPr>
            <w:r>
              <w:rPr>
                <w:bCs/>
                <w:iCs/>
                <w:sz w:val="26"/>
                <w:szCs w:val="26"/>
              </w:rPr>
              <w:t>Quyết định số 15/2024/QĐ-UBND ngày 18/07/2024 của UBND tỉnh Lào Cai Ban hành Quy định về theo dõi, quản lý việc thực hiện thủ tục xuất nhập khẩu, xuất nhập cảnh qua Cửa khẩu quốc tế đường bộ số II (Kim Thành) trên nền tảng cửa khẩu số</w:t>
            </w:r>
          </w:p>
        </w:tc>
        <w:tc>
          <w:tcPr>
            <w:tcW w:w="2121" w:type="dxa"/>
            <w:vAlign w:val="center"/>
          </w:tcPr>
          <w:p w14:paraId="540FC304">
            <w:pPr>
              <w:jc w:val="both"/>
              <w:rPr>
                <w:bCs/>
                <w:iCs/>
                <w:sz w:val="26"/>
                <w:szCs w:val="26"/>
              </w:rPr>
            </w:pPr>
            <w:r>
              <w:rPr>
                <w:bCs/>
                <w:iCs/>
                <w:sz w:val="26"/>
                <w:szCs w:val="26"/>
              </w:rPr>
              <w:t>1.Luật Tổ chức chính quyền địa phương số 72/2025/QH15;</w:t>
            </w:r>
            <w:r>
              <w:rPr>
                <w:bCs/>
                <w:iCs/>
                <w:sz w:val="26"/>
                <w:szCs w:val="26"/>
              </w:rPr>
              <w:br w:type="textWrapping"/>
            </w:r>
            <w:r>
              <w:rPr>
                <w:bCs/>
                <w:iCs/>
                <w:sz w:val="26"/>
                <w:szCs w:val="26"/>
              </w:rPr>
              <w:t>2. Luật Ban hành văn bản quy phạm pháp luật số 64/2025/QH15 được sửa đổi, bổ sung bởi Luật số 87/2025/QH15;</w:t>
            </w:r>
            <w:r>
              <w:rPr>
                <w:bCs/>
                <w:iCs/>
                <w:sz w:val="26"/>
                <w:szCs w:val="26"/>
              </w:rPr>
              <w:br w:type="textWrapping"/>
            </w:r>
            <w:r>
              <w:rPr>
                <w:bCs/>
                <w:iCs/>
                <w:sz w:val="26"/>
                <w:szCs w:val="26"/>
              </w:rPr>
              <w:t>3. Nghị định số 112/2014/NĐ-CP của Chính phủ Quy định về quản lý cửa khẩu biên giới đất liền được sửa đổi, bổ sung bởi Nghị định số 34/2023/NĐ-CP và Nghị định số 299/2025/NĐ-CP;</w:t>
            </w:r>
            <w:r>
              <w:rPr>
                <w:bCs/>
                <w:iCs/>
                <w:sz w:val="26"/>
                <w:szCs w:val="26"/>
              </w:rPr>
              <w:br w:type="textWrapping"/>
            </w:r>
            <w:r>
              <w:rPr>
                <w:bCs/>
                <w:iCs/>
                <w:sz w:val="26"/>
                <w:szCs w:val="26"/>
              </w:rPr>
              <w:t>4. Thông tư 29/2025/TT-BTC ngày 26/5/2025 của Bộ trưởng Bộ Tài chính Sửa đổi, bổ sung một số điều của Thông tư số 191/2015/TT-BTC ngày 24 tháng 11 năm 2015 quy định thủ tục hải quan đối với hàng hóa xuất khẩu, nhập khẩu, quá cảnh gửi qua dịch vụ chuyển phát nhanh quốc tế đã được sửa đổi, bổ sung tại Thông tư số 56/2019/TT-BTC ngày 23 tháng 8 năm 2019 của Bộ trưởng Bộ Tài chính;</w:t>
            </w:r>
            <w:r>
              <w:rPr>
                <w:bCs/>
                <w:iCs/>
                <w:sz w:val="26"/>
                <w:szCs w:val="26"/>
              </w:rPr>
              <w:br w:type="textWrapping"/>
            </w:r>
            <w:r>
              <w:rPr>
                <w:bCs/>
                <w:iCs/>
                <w:sz w:val="26"/>
                <w:szCs w:val="26"/>
              </w:rPr>
              <w:t>5. Quyết định số 453/QĐ-TTG của Thủ tướng Chính phủ Phê duyệt Đề án xây dựng cửa khẩu thông minh tại lối thông quan cầu đường bộ Kim Thành và lối thông quan Bản Vược thuộc cửa khẩu quốc tế Lào Cai</w:t>
            </w:r>
          </w:p>
        </w:tc>
        <w:tc>
          <w:tcPr>
            <w:tcW w:w="4003" w:type="dxa"/>
            <w:vAlign w:val="center"/>
          </w:tcPr>
          <w:p w14:paraId="01D01FFE">
            <w:pPr>
              <w:jc w:val="both"/>
              <w:rPr>
                <w:bCs/>
                <w:iCs/>
                <w:sz w:val="26"/>
                <w:szCs w:val="26"/>
              </w:rPr>
            </w:pPr>
            <w:r>
              <w:rPr>
                <w:bCs/>
                <w:iCs/>
                <w:sz w:val="26"/>
                <w:szCs w:val="26"/>
              </w:rPr>
              <w:t xml:space="preserve">Quy định về tên gọi, chức năng của các cơ quan thành viên quản lý cửa khẩu đến thời điểm hiện tại là không còn phù hợp với quy định tại </w:t>
            </w:r>
            <w:r>
              <w:rPr>
                <w:bCs/>
                <w:iCs/>
                <w:sz w:val="26"/>
                <w:szCs w:val="26"/>
              </w:rPr>
              <w:br w:type="textWrapping"/>
            </w:r>
            <w:r>
              <w:rPr>
                <w:bCs/>
                <w:iCs/>
                <w:sz w:val="26"/>
                <w:szCs w:val="26"/>
              </w:rPr>
              <w:t>Quyết định số 1199/QĐ-TTg ngày 14/10/2023 của Thủ tướng Chính phủ về quy hoạch cửa khẩu trên tuyến biên giới đất liền Việt Nam – Trung Quốc thời kì 2021-2030, tầm nhìn đến năm 2050.</w:t>
            </w:r>
            <w:r>
              <w:rPr>
                <w:bCs/>
                <w:iCs/>
                <w:sz w:val="26"/>
                <w:szCs w:val="26"/>
              </w:rPr>
              <w:br w:type="textWrapping"/>
            </w:r>
            <w:r>
              <w:rPr>
                <w:bCs/>
                <w:iCs/>
                <w:sz w:val="26"/>
                <w:szCs w:val="26"/>
              </w:rPr>
              <w:t>Cần bổ sung quy định về phát triển mô hình cửa khẩu thông minh đảm bảo phù hợp với quy định tại  Quyết định số 453/QĐ-TTg ngày 18/3/2026 của Thủ tướng Chính phủ phê duyệt Đề án xây dựng cửa khẩu thông minh tại Lào Cai.</w:t>
            </w:r>
          </w:p>
        </w:tc>
        <w:tc>
          <w:tcPr>
            <w:tcW w:w="1417" w:type="dxa"/>
            <w:vAlign w:val="center"/>
          </w:tcPr>
          <w:p w14:paraId="27801832">
            <w:pPr>
              <w:jc w:val="both"/>
              <w:rPr>
                <w:bCs/>
                <w:iCs/>
                <w:sz w:val="26"/>
                <w:szCs w:val="26"/>
              </w:rPr>
            </w:pPr>
            <w:r>
              <w:rPr>
                <w:bCs/>
                <w:iCs/>
                <w:sz w:val="26"/>
                <w:szCs w:val="26"/>
              </w:rPr>
              <w:t>Thay thế</w:t>
            </w:r>
          </w:p>
        </w:tc>
        <w:tc>
          <w:tcPr>
            <w:tcW w:w="1275" w:type="dxa"/>
            <w:vAlign w:val="center"/>
          </w:tcPr>
          <w:p w14:paraId="733CBD75">
            <w:pPr>
              <w:jc w:val="both"/>
              <w:rPr>
                <w:bCs/>
                <w:iCs/>
                <w:sz w:val="26"/>
                <w:szCs w:val="26"/>
              </w:rPr>
            </w:pPr>
            <w:r>
              <w:rPr>
                <w:bCs/>
                <w:iCs/>
                <w:sz w:val="26"/>
                <w:szCs w:val="26"/>
              </w:rPr>
              <w:t>Năm 2026</w:t>
            </w:r>
          </w:p>
        </w:tc>
        <w:tc>
          <w:tcPr>
            <w:tcW w:w="1904" w:type="dxa"/>
            <w:vAlign w:val="center"/>
          </w:tcPr>
          <w:p w14:paraId="0B452042">
            <w:pPr>
              <w:jc w:val="both"/>
              <w:rPr>
                <w:bCs/>
                <w:iCs/>
                <w:sz w:val="26"/>
                <w:szCs w:val="26"/>
              </w:rPr>
            </w:pPr>
            <w:r>
              <w:rPr>
                <w:bCs/>
                <w:iCs/>
                <w:sz w:val="26"/>
                <w:szCs w:val="26"/>
              </w:rPr>
              <w:t xml:space="preserve">Tiêu chí 1.1 - Tiêu chí về tổ chức bộ máy; Tiêu chí 1.2 - Tiêu chí về khoa học, công nghệ; Tiêu chí 6; Tiêu chí 2.3 </w:t>
            </w:r>
          </w:p>
        </w:tc>
        <w:tc>
          <w:tcPr>
            <w:tcW w:w="1710" w:type="dxa"/>
            <w:shd w:val="clear"/>
            <w:vAlign w:val="center"/>
          </w:tcPr>
          <w:p w14:paraId="73EEB148">
            <w:pPr>
              <w:jc w:val="both"/>
              <w:rPr>
                <w:rFonts w:ascii="Times New Roman" w:hAnsi="Times New Roman" w:eastAsia="Times New Roman" w:cs="Times New Roman"/>
                <w:b/>
                <w:bCs/>
                <w:sz w:val="24"/>
                <w:szCs w:val="22"/>
                <w:lang w:val="en-US" w:eastAsia="en-US" w:bidi="ar-SA"/>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7 văn bản</w:t>
            </w:r>
          </w:p>
        </w:tc>
      </w:tr>
    </w:tbl>
    <w:p w14:paraId="52BB7741">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5194178"/>
      <w:bookmarkStart w:id="2" w:name="_Hlk226971132"/>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6F8A1542"/>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uiPriority w:val="0"/>
  </w:style>
  <w:style w:type="character" w:customStyle="1" w:styleId="31">
    <w:name w:val="Footnote Text Char"/>
    <w:link w:val="15"/>
    <w:qFormat/>
    <w:uiPriority w:val="99"/>
  </w:style>
  <w:style w:type="character" w:customStyle="1" w:styleId="32">
    <w:name w:val="Comment Text Char"/>
    <w:basedOn w:val="3"/>
    <w:link w:val="7"/>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15</Pages>
  <Words>3967</Words>
  <Characters>14432</Characters>
  <Lines>67</Lines>
  <Paragraphs>18</Paragraphs>
  <TotalTime>0</TotalTime>
  <ScaleCrop>false</ScaleCrop>
  <LinksUpToDate>false</LinksUpToDate>
  <CharactersWithSpaces>18268</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2026-08-04T16:28:28Z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FA09B1FC6D014AE889436205D06C220B_12</vt:lpwstr>
  </property>
</Properties>
</file>