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04-T</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UBND Tỉnh Cao Bằng</w:t>
      </w:r>
    </w:p>
    <w:p w:rsidR="006B528A" w:rsidRDefault="00E41AFA" w:rsidP="006B528A">
      <w:pPr>
        <w:jc w:val="center"/>
        <w:rPr>
          <w:bCs/>
          <w:i/>
          <w:iCs/>
          <w:sz w:val="26"/>
          <w:szCs w:val="26"/>
        </w:rPr>
      </w:pPr>
      <w:r>
        <w:rPr>
          <w:bCs/>
          <w:noProof/>
          <w:sz w:val="26"/>
          <w:szCs w:val="26"/>
          <w:lang w:val="en-ZW" w:eastAsia="ja-JP"/>
        </w:rPr>
        <w:t>(Kèm theo Báo cáo số: ......... ngày ......... của UBND Tỉnh Cao Bằng)</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02639F" w:rsidP="00A01505">
            <w:pPr>
              <w:jc w:val="center"/>
              <w:rPr>
                <w:b/>
                <w:bCs/>
                <w:iCs/>
                <w:sz w:val="24"/>
              </w:rPr>
            </w:pPr>
            <w:r w:rsidRPr="005F43E0">
              <w:rPr>
                <w:b/>
                <w:bCs/>
                <w:iCs/>
                <w:sz w:val="20"/>
                <w:szCs w:val="20"/>
              </w:rPr>
              <w:t xml:space="preserve">Ý kiến của Bộ </w:t>
            </w:r>
            <w:r>
              <w:rPr>
                <w:b/>
                <w:bCs/>
                <w:iCs/>
                <w:sz w:val="20"/>
                <w:szCs w:val="20"/>
              </w:rPr>
              <w:t>KH&amp;CN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353220">
        <w:trPr>
          <w:trHeight w:val="315"/>
        </w:trPr>
        <w:tc>
          <w:tcPr>
            <w:tcW w:w="15237" w:type="dxa"/>
            <w:gridSpan w:val="8"/>
            <w:vAlign w:val="center"/>
          </w:tcPr>
          <w:p w:rsidR="00353220" w:rsidRDefault="00631D41">
            <w:pPr>
              <w:ind w:left="1080"/>
              <w:jc w:val="center"/>
              <w:rPr>
                <w:b/>
                <w:sz w:val="26"/>
                <w:szCs w:val="26"/>
              </w:rPr>
            </w:pPr>
            <w:r>
              <w:rPr>
                <w:b/>
                <w:sz w:val="26"/>
                <w:szCs w:val="26"/>
              </w:rPr>
              <w:t>I. KHOA HỌC VÀ CÔNG NGHỆ</w:t>
            </w:r>
          </w:p>
        </w:tc>
      </w:tr>
      <w:tr w:rsidR="00353220">
        <w:tc>
          <w:tcPr>
            <w:tcW w:w="959" w:type="dxa"/>
            <w:vAlign w:val="center"/>
          </w:tcPr>
          <w:p w:rsidR="00353220" w:rsidRDefault="00631D41">
            <w:pPr>
              <w:jc w:val="center"/>
              <w:rPr>
                <w:bCs/>
                <w:iCs/>
                <w:sz w:val="26"/>
                <w:szCs w:val="26"/>
              </w:rPr>
            </w:pPr>
            <w:r>
              <w:rPr>
                <w:bCs/>
                <w:iCs/>
                <w:sz w:val="26"/>
                <w:szCs w:val="26"/>
              </w:rPr>
              <w:t>1.</w:t>
            </w:r>
          </w:p>
        </w:tc>
        <w:tc>
          <w:tcPr>
            <w:tcW w:w="1848" w:type="dxa"/>
            <w:vAlign w:val="center"/>
          </w:tcPr>
          <w:p w:rsidR="00353220" w:rsidRDefault="00631D41">
            <w:pPr>
              <w:jc w:val="both"/>
              <w:rPr>
                <w:bCs/>
                <w:iCs/>
                <w:sz w:val="26"/>
                <w:szCs w:val="26"/>
              </w:rPr>
            </w:pPr>
            <w:r>
              <w:rPr>
                <w:bCs/>
                <w:iCs/>
                <w:sz w:val="26"/>
                <w:szCs w:val="26"/>
              </w:rPr>
              <w:t xml:space="preserve">Quyết định số 40/2018/QĐ-UBND ngày 10/12/2018 của Uỷ ban </w:t>
            </w:r>
            <w:r>
              <w:rPr>
                <w:bCs/>
                <w:iCs/>
                <w:sz w:val="26"/>
                <w:szCs w:val="26"/>
              </w:rPr>
              <w:t xml:space="preserve">nhân dân tỉnh Quyết định  ban hành </w:t>
            </w:r>
            <w:r>
              <w:rPr>
                <w:bCs/>
                <w:iCs/>
                <w:sz w:val="26"/>
                <w:szCs w:val="26"/>
              </w:rPr>
              <w:lastRenderedPageBreak/>
              <w:t>Quy định quản lý và sử dụng chỉ dẫn địa lý "Cao Bằng" cho sản phẩm trúc sào và chiếu trúc sào tỉnh Cao Bằng</w:t>
            </w:r>
          </w:p>
        </w:tc>
        <w:tc>
          <w:tcPr>
            <w:tcW w:w="2121" w:type="dxa"/>
            <w:vAlign w:val="center"/>
          </w:tcPr>
          <w:p w:rsidR="00353220" w:rsidRDefault="00631D41">
            <w:pPr>
              <w:jc w:val="both"/>
              <w:rPr>
                <w:bCs/>
                <w:iCs/>
                <w:sz w:val="26"/>
                <w:szCs w:val="26"/>
              </w:rPr>
            </w:pPr>
            <w:r>
              <w:rPr>
                <w:bCs/>
                <w:iCs/>
                <w:sz w:val="26"/>
                <w:szCs w:val="26"/>
              </w:rPr>
              <w:lastRenderedPageBreak/>
              <w:t>Luật Sở hữu trí tuệ năm 2005, Luật sửa đổi, bổ sung một số điều của Luật Sở hữu trí tuệ năm 2009, Luật sửa đổi, b</w:t>
            </w:r>
            <w:r>
              <w:rPr>
                <w:bCs/>
                <w:iCs/>
                <w:sz w:val="26"/>
                <w:szCs w:val="26"/>
              </w:rPr>
              <w:t xml:space="preserve">ổ sung </w:t>
            </w:r>
            <w:r>
              <w:rPr>
                <w:bCs/>
                <w:iCs/>
                <w:sz w:val="26"/>
                <w:szCs w:val="26"/>
              </w:rPr>
              <w:lastRenderedPageBreak/>
              <w:t>một số điều của Luật Sở hữu trí tuệ năm 2022, Luật số 131/2025/QH15 ngày 10/12/2025 sửa đổi, bổ sung một số điều của Luật Sở hữu trí tuệ (có hiệu lực từ 01/4/2026); Nghị định số 65/2023/NĐ-CP ngày 23/8/2023 của Chính phủ quy định chi tiết một số điề</w:t>
            </w:r>
            <w:r>
              <w:rPr>
                <w:bCs/>
                <w:iCs/>
                <w:sz w:val="26"/>
                <w:szCs w:val="26"/>
              </w:rPr>
              <w:t>u và biện pháp thi hành Luật Sở hữu trí tuệ về sở hữu công nghiệp, bảo vệ quyền sở hữu công nghiệp, quyền đối với giống cây trồng và quản lý nhà nước về sở hữu trí tuệ; Nghị định số 100/2026/NĐ-CP ngày 31/3/2026 sửa đổi, bổ sung Nghị định số 65/2023/NĐ-CP;</w:t>
            </w:r>
            <w:r>
              <w:rPr>
                <w:bCs/>
                <w:iCs/>
                <w:sz w:val="26"/>
                <w:szCs w:val="26"/>
              </w:rPr>
              <w:t xml:space="preserve"> </w:t>
            </w:r>
            <w:r>
              <w:rPr>
                <w:bCs/>
                <w:iCs/>
                <w:sz w:val="26"/>
                <w:szCs w:val="26"/>
              </w:rPr>
              <w:lastRenderedPageBreak/>
              <w:t>Thông tư số 10/2026/TT-BKHCN ngày 31/3/2026 của Bộ Khoa học và Công nghệ; Luật Tổ chức chính quyền địa phương năm 2025; pháp luật hiện hành về ban hành văn bản quy phạm pháp luật.</w:t>
            </w:r>
          </w:p>
        </w:tc>
        <w:tc>
          <w:tcPr>
            <w:tcW w:w="4003" w:type="dxa"/>
            <w:vAlign w:val="center"/>
          </w:tcPr>
          <w:p w:rsidR="00353220" w:rsidRDefault="00631D41">
            <w:pPr>
              <w:jc w:val="both"/>
              <w:rPr>
                <w:bCs/>
                <w:iCs/>
                <w:sz w:val="26"/>
                <w:szCs w:val="26"/>
              </w:rPr>
            </w:pPr>
            <w:r>
              <w:rPr>
                <w:bCs/>
                <w:iCs/>
                <w:sz w:val="26"/>
                <w:szCs w:val="26"/>
              </w:rPr>
              <w:lastRenderedPageBreak/>
              <w:t xml:space="preserve">Quyết định số 40/2018/QĐ-UBND ban hành Quy định quản lý và sử dụng chỉ dẫn </w:t>
            </w:r>
            <w:r>
              <w:rPr>
                <w:bCs/>
                <w:iCs/>
                <w:sz w:val="26"/>
                <w:szCs w:val="26"/>
              </w:rPr>
              <w:t xml:space="preserve">địa lý ‘Cao Bằng’ cho sản phẩm trúc sào và chiếu trúc sào tỉnh Cao Bằng được xây dựng trên cơ sở Luật Sở hữu trí tuệ năm 2005, Luật sửa đổi, bổ sung năm 2009 và </w:t>
            </w:r>
            <w:r>
              <w:rPr>
                <w:bCs/>
                <w:iCs/>
                <w:sz w:val="26"/>
                <w:szCs w:val="26"/>
              </w:rPr>
              <w:lastRenderedPageBreak/>
              <w:t>các nghị định hướng dẫn cũ (Nghị định số 103/2006/NĐ-CP, Nghị định số 122/2010/NĐ-CP). Đến thời</w:t>
            </w:r>
            <w:r>
              <w:rPr>
                <w:bCs/>
                <w:iCs/>
                <w:sz w:val="26"/>
                <w:szCs w:val="26"/>
              </w:rPr>
              <w:t xml:space="preserve"> điểm rà soát, hệ thống pháp luật về sở hữu trí tuệ, đặc biệt trong lĩnh vực sở hữu công nghiệp và chỉ dẫn địa lý, đã được sửa đổi, bổ sung đáng kể, nhất là sau Luật số 131/2025/QH15, Nghị định số 65/2023/NĐ-CP, Nghị định số 100/2026/NĐ-CP và Thông tư số 1</w:t>
            </w:r>
            <w:r>
              <w:rPr>
                <w:bCs/>
                <w:iCs/>
                <w:sz w:val="26"/>
                <w:szCs w:val="26"/>
              </w:rPr>
              <w:t>0/2026/TT-BKHCN.</w:t>
            </w:r>
            <w:r>
              <w:rPr>
                <w:bCs/>
                <w:iCs/>
                <w:sz w:val="26"/>
                <w:szCs w:val="26"/>
              </w:rPr>
              <w:br/>
              <w:t>Nội dung của Quyết định hiện hành có một số quy định không còn phù hợp hoàn toàn với pháp luật hiện hành, cần được rà soát, cập nhật, như: (i) căn cứ pháp lý ban hành đã lạc hậu; (ii) cơ chế quản lý, sử dụng chỉ dẫn địa lý còn thiết kế the</w:t>
            </w:r>
            <w:r>
              <w:rPr>
                <w:bCs/>
                <w:iCs/>
                <w:sz w:val="26"/>
                <w:szCs w:val="26"/>
              </w:rPr>
              <w:t>o mô hình cũ, trong đó có quy định về cấp, cấp lại, thu hồi Giấy chứng nhận quyền sử dụng chỉ dẫn địa lý, thời hạn hiệu lực của giấy chứng nhận, vai trò của Hội Trúc sào Cao Bằng trong quy trình cấp quyền sử dụng; (iii) điều kiện sử dụng chỉ dẫn địa lý, cơ</w:t>
            </w:r>
            <w:r>
              <w:rPr>
                <w:bCs/>
                <w:iCs/>
                <w:sz w:val="26"/>
                <w:szCs w:val="26"/>
              </w:rPr>
              <w:t xml:space="preserve"> chế quản lý nội bộ, quản lý bên ngoài, kiểm soát chất lượng, truy xuất nguồn gốc và trách nhiệm của các cơ quan, tổ chức liên quan cần được rà soát, điều chỉnh để bảo đảm thống nhất với quy định hiện hành của pháp luật về sở hữu trí tuệ và </w:t>
            </w:r>
            <w:r>
              <w:rPr>
                <w:bCs/>
                <w:iCs/>
                <w:sz w:val="26"/>
                <w:szCs w:val="26"/>
              </w:rPr>
              <w:lastRenderedPageBreak/>
              <w:t>quản lý nhà nướ</w:t>
            </w:r>
            <w:r>
              <w:rPr>
                <w:bCs/>
                <w:iCs/>
                <w:sz w:val="26"/>
                <w:szCs w:val="26"/>
              </w:rPr>
              <w:t>c về sở hữu trí tuệ.</w:t>
            </w:r>
            <w:r>
              <w:rPr>
                <w:bCs/>
                <w:iCs/>
                <w:sz w:val="26"/>
                <w:szCs w:val="26"/>
              </w:rPr>
              <w:br/>
              <w:t>Do đó, cần tham mưu xử lý văn bản theo hướng thay thế để bảo đảm tính hợp hiến, hợp pháp, tính thống nhất, đồng bộ của hệ thống pháp luật và phù hợp với thực tiễn quản lý, sử dụng chỉ dẫn địa lý trên địa bàn tỉnh.</w:t>
            </w:r>
          </w:p>
        </w:tc>
        <w:tc>
          <w:tcPr>
            <w:tcW w:w="1417" w:type="dxa"/>
            <w:vAlign w:val="center"/>
          </w:tcPr>
          <w:p w:rsidR="00353220" w:rsidRDefault="00631D41">
            <w:pPr>
              <w:jc w:val="both"/>
              <w:rPr>
                <w:bCs/>
                <w:iCs/>
                <w:sz w:val="26"/>
                <w:szCs w:val="26"/>
              </w:rPr>
            </w:pPr>
            <w:r>
              <w:rPr>
                <w:bCs/>
                <w:iCs/>
                <w:sz w:val="26"/>
                <w:szCs w:val="26"/>
              </w:rPr>
              <w:lastRenderedPageBreak/>
              <w:t>Sửa đổi, bổ sung</w:t>
            </w:r>
          </w:p>
        </w:tc>
        <w:tc>
          <w:tcPr>
            <w:tcW w:w="1275" w:type="dxa"/>
            <w:vAlign w:val="center"/>
          </w:tcPr>
          <w:p w:rsidR="00353220" w:rsidRDefault="00631D41">
            <w:pPr>
              <w:jc w:val="both"/>
              <w:rPr>
                <w:bCs/>
                <w:iCs/>
                <w:sz w:val="26"/>
                <w:szCs w:val="26"/>
              </w:rPr>
            </w:pPr>
            <w:r>
              <w:rPr>
                <w:bCs/>
                <w:iCs/>
                <w:sz w:val="26"/>
                <w:szCs w:val="26"/>
              </w:rPr>
              <w:t xml:space="preserve">Năm </w:t>
            </w:r>
            <w:r>
              <w:rPr>
                <w:bCs/>
                <w:iCs/>
                <w:sz w:val="26"/>
                <w:szCs w:val="26"/>
              </w:rPr>
              <w:t>2026</w:t>
            </w:r>
          </w:p>
        </w:tc>
        <w:tc>
          <w:tcPr>
            <w:tcW w:w="1904" w:type="dxa"/>
            <w:vAlign w:val="center"/>
          </w:tcPr>
          <w:p w:rsidR="00353220" w:rsidRDefault="00631D41">
            <w:pPr>
              <w:jc w:val="both"/>
              <w:rPr>
                <w:bCs/>
                <w:iCs/>
                <w:sz w:val="26"/>
                <w:szCs w:val="26"/>
              </w:rPr>
            </w:pPr>
            <w:r>
              <w:rPr>
                <w:bCs/>
                <w:iCs/>
                <w:sz w:val="26"/>
                <w:szCs w:val="26"/>
              </w:rPr>
              <w:t xml:space="preserve">Tiêu chí 1.2 - Tiêu chí về khoa học, công nghệ; Tiêu chí 2.4 </w:t>
            </w:r>
          </w:p>
        </w:tc>
        <w:tc>
          <w:tcPr>
            <w:tcW w:w="1710" w:type="dxa"/>
            <w:vAlign w:val="center"/>
          </w:tcPr>
          <w:p w:rsidR="00353220" w:rsidRDefault="0002639F">
            <w:pPr>
              <w:jc w:val="both"/>
              <w:rPr>
                <w:bCs/>
                <w:iCs/>
                <w:sz w:val="26"/>
                <w:szCs w:val="26"/>
              </w:rPr>
            </w:pPr>
            <w:r w:rsidRPr="005F43E0">
              <w:rPr>
                <w:b/>
                <w:bCs/>
                <w:sz w:val="24"/>
                <w:szCs w:val="22"/>
              </w:rPr>
              <w:t>Không nhất trí</w:t>
            </w:r>
            <w:r w:rsidRPr="005F43E0">
              <w:rPr>
                <w:sz w:val="24"/>
                <w:szCs w:val="22"/>
              </w:rPr>
              <w:t xml:space="preserve">: Cơ sở rà soát và nội dung phân tích chưa thể hiện đã rà soát và phát hiện nội </w:t>
            </w:r>
            <w:r w:rsidRPr="005F43E0">
              <w:rPr>
                <w:sz w:val="24"/>
                <w:szCs w:val="22"/>
              </w:rPr>
              <w:lastRenderedPageBreak/>
              <w:t>dung vướng mắc, bất cập liên quan đến chủ trương, đường lối của Đảng về đột phá phát triển KH,CN,ĐMST&amp;CĐS</w:t>
            </w:r>
          </w:p>
        </w:tc>
      </w:tr>
      <w:tr w:rsidR="0002639F" w:rsidTr="00E02E70">
        <w:tc>
          <w:tcPr>
            <w:tcW w:w="959" w:type="dxa"/>
            <w:vAlign w:val="center"/>
          </w:tcPr>
          <w:p w:rsidR="0002639F" w:rsidRDefault="0002639F" w:rsidP="0002639F">
            <w:pPr>
              <w:jc w:val="center"/>
              <w:rPr>
                <w:bCs/>
                <w:iCs/>
                <w:sz w:val="26"/>
                <w:szCs w:val="26"/>
              </w:rPr>
            </w:pPr>
            <w:r>
              <w:rPr>
                <w:bCs/>
                <w:iCs/>
                <w:sz w:val="26"/>
                <w:szCs w:val="26"/>
              </w:rPr>
              <w:lastRenderedPageBreak/>
              <w:t>2.</w:t>
            </w:r>
          </w:p>
        </w:tc>
        <w:tc>
          <w:tcPr>
            <w:tcW w:w="1848" w:type="dxa"/>
            <w:vAlign w:val="center"/>
          </w:tcPr>
          <w:p w:rsidR="0002639F" w:rsidRDefault="0002639F" w:rsidP="0002639F">
            <w:pPr>
              <w:jc w:val="both"/>
              <w:rPr>
                <w:bCs/>
                <w:iCs/>
                <w:sz w:val="26"/>
                <w:szCs w:val="26"/>
              </w:rPr>
            </w:pPr>
            <w:r>
              <w:rPr>
                <w:bCs/>
                <w:iCs/>
                <w:sz w:val="26"/>
                <w:szCs w:val="26"/>
              </w:rPr>
              <w:t>Quyết định số 33/2020/QĐ-UBND ngày 11/12/2020 của Uỷ ban nhân dân tỉnh Quyết định  ban hành Quy định về quản lý hoạt động sáng kiến trên địa bàn tỉnh Cao Bằng</w:t>
            </w:r>
          </w:p>
        </w:tc>
        <w:tc>
          <w:tcPr>
            <w:tcW w:w="2121" w:type="dxa"/>
            <w:vAlign w:val="center"/>
          </w:tcPr>
          <w:p w:rsidR="0002639F" w:rsidRDefault="0002639F" w:rsidP="0002639F">
            <w:pPr>
              <w:jc w:val="both"/>
              <w:rPr>
                <w:bCs/>
                <w:iCs/>
                <w:sz w:val="26"/>
                <w:szCs w:val="26"/>
              </w:rPr>
            </w:pPr>
            <w:r>
              <w:rPr>
                <w:bCs/>
                <w:iCs/>
                <w:sz w:val="26"/>
                <w:szCs w:val="26"/>
              </w:rPr>
              <w:t>- Luật Tổ chức chính quyền địa phương số 72/2025/QH15;</w:t>
            </w:r>
            <w:r>
              <w:rPr>
                <w:bCs/>
                <w:iCs/>
                <w:sz w:val="26"/>
                <w:szCs w:val="26"/>
              </w:rPr>
              <w:br/>
              <w:t xml:space="preserve"> - Luật Thi đua, khen thưởng số 06/2022/QH15;</w:t>
            </w:r>
            <w:r>
              <w:rPr>
                <w:bCs/>
                <w:iCs/>
                <w:sz w:val="26"/>
                <w:szCs w:val="26"/>
              </w:rPr>
              <w:br/>
              <w:t xml:space="preserve"> - Luật Khoa học, công nghệ và đổi mới sáng tạo số 93/2025/QH15;</w:t>
            </w:r>
            <w:r>
              <w:rPr>
                <w:bCs/>
                <w:iCs/>
                <w:sz w:val="26"/>
                <w:szCs w:val="26"/>
              </w:rPr>
              <w:br/>
              <w:t xml:space="preserve"> - Luật Ban hành văn bản quy phạm pháp luật số 64/2025/QH15 được sửa đổi, bổ sung bởi Luật số 87/2025/QH15;</w:t>
            </w:r>
            <w:r>
              <w:rPr>
                <w:bCs/>
                <w:iCs/>
                <w:sz w:val="26"/>
                <w:szCs w:val="26"/>
              </w:rPr>
              <w:br/>
              <w:t xml:space="preserve"> - Nghị định số 13/2012/NĐ-CP </w:t>
            </w:r>
            <w:r>
              <w:rPr>
                <w:bCs/>
                <w:iCs/>
                <w:sz w:val="26"/>
                <w:szCs w:val="26"/>
              </w:rPr>
              <w:lastRenderedPageBreak/>
              <w:t>ngày 03 tháng 02 năm 2012 của Chính phủ ban hành Điều lệ sáng kiến;</w:t>
            </w:r>
            <w:r>
              <w:rPr>
                <w:bCs/>
                <w:iCs/>
                <w:sz w:val="26"/>
                <w:szCs w:val="26"/>
              </w:rPr>
              <w:br/>
              <w:t xml:space="preserve"> - Nghị định số 78/2025/NĐ-CP của Chính phủ quy định chi tiết một số điều và biện pháp để tổ chức, hướng dẫn thi hành Luật Ban hành văn bản quy phạm pháp luật được sửa đổi, bổ sung bởi Nghị định số 187/2025/NĐ-CP;</w:t>
            </w:r>
            <w:r>
              <w:rPr>
                <w:bCs/>
                <w:iCs/>
                <w:sz w:val="26"/>
                <w:szCs w:val="26"/>
              </w:rPr>
              <w:br/>
              <w:t xml:space="preserve"> - Nghị định số 152/2025/NĐ-CP ngày 14 tháng 6 năm 2025 của Chính phủ Quy định về phân cấp, phân quyền trong lĩnh vực thi đua, khen thưởng; quy định chi tiết và hướng dẫn thi hành một số điều </w:t>
            </w:r>
            <w:r>
              <w:rPr>
                <w:bCs/>
                <w:iCs/>
                <w:sz w:val="26"/>
                <w:szCs w:val="26"/>
              </w:rPr>
              <w:lastRenderedPageBreak/>
              <w:t>của Luật Thi đua, khen thưởng;</w:t>
            </w:r>
            <w:r>
              <w:rPr>
                <w:bCs/>
                <w:iCs/>
                <w:sz w:val="26"/>
                <w:szCs w:val="26"/>
              </w:rPr>
              <w:br/>
              <w:t xml:space="preserve"> - Thông tư số 18/2013/TT-BKHCN ngày 01 tháng 8 năm 2013 của Bộ trưởng Bộ Khoa học và Công nghệ hướng dẫn thi hành một số quy định của Điều lệ sáng kiến được ban hành theo Nghị định số 13/2012/NĐ-CP ngày 03 tháng 02 năm 2012 của Chính phủ;</w:t>
            </w:r>
            <w:r>
              <w:rPr>
                <w:bCs/>
                <w:iCs/>
                <w:sz w:val="26"/>
                <w:szCs w:val="26"/>
              </w:rPr>
              <w:br/>
              <w:t xml:space="preserve"> - Thông tư số 15/2025/TT-BNV ngày 04 tháng 8 năm 2025 của Bộ Nội vụ Quy định biện pháp để tổ chức, hướng dẫn thi hành Luật Thi đua, khen thưởng và Nghị định số 152/2025/NĐ-СР ngày 14 tháng 6 năm 2025 của Chính phủ quy </w:t>
            </w:r>
            <w:r>
              <w:rPr>
                <w:bCs/>
                <w:iCs/>
                <w:sz w:val="26"/>
                <w:szCs w:val="26"/>
              </w:rPr>
              <w:lastRenderedPageBreak/>
              <w:t>định về phân cấp, phân quyền trong lĩnh vực thi đua, khen thưởng; quy định chi tiết và hướng dẫn thi hành một số điều của Luật Thi đua, khen thưởng;</w:t>
            </w:r>
            <w:r>
              <w:rPr>
                <w:bCs/>
                <w:iCs/>
                <w:sz w:val="26"/>
                <w:szCs w:val="26"/>
              </w:rPr>
              <w:br/>
              <w:t xml:space="preserve"> - Thông tư số 26/2025/TT-BTP ngày 12 tháng 12 năm 2025 của Bộ Tư pháp hướng dẫn xây dựng, ban hành văn bản quy phạm pháp luật;</w:t>
            </w:r>
            <w:r>
              <w:rPr>
                <w:bCs/>
                <w:iCs/>
                <w:sz w:val="26"/>
                <w:szCs w:val="26"/>
              </w:rPr>
              <w:br/>
              <w:t xml:space="preserve"> - Quyết định số 33/2020/QĐ-UBND ngày 11 tháng 12 năm 2020 của Ủy ban nhân dân tỉnh Cao Bằng ban hành Quy định về quản lý hoạt động sáng kiến trên địa bàn tỉnh Cao Bằng.\</w:t>
            </w:r>
            <w:r>
              <w:rPr>
                <w:bCs/>
                <w:iCs/>
                <w:sz w:val="26"/>
                <w:szCs w:val="26"/>
              </w:rPr>
              <w:br/>
              <w:t xml:space="preserve"> - Thực tiễn triển khai công tác quản lý hoạt động sáng kiến trên địa </w:t>
            </w:r>
            <w:r>
              <w:rPr>
                <w:bCs/>
                <w:iCs/>
                <w:sz w:val="26"/>
                <w:szCs w:val="26"/>
              </w:rPr>
              <w:lastRenderedPageBreak/>
              <w:t>bàn tỉnh Cao Bằng giai đoạn 2021-2025</w:t>
            </w:r>
          </w:p>
        </w:tc>
        <w:tc>
          <w:tcPr>
            <w:tcW w:w="4003" w:type="dxa"/>
            <w:vAlign w:val="center"/>
          </w:tcPr>
          <w:p w:rsidR="0002639F" w:rsidRDefault="0002639F" w:rsidP="0002639F">
            <w:pPr>
              <w:jc w:val="both"/>
              <w:rPr>
                <w:bCs/>
                <w:iCs/>
                <w:sz w:val="26"/>
                <w:szCs w:val="26"/>
              </w:rPr>
            </w:pPr>
            <w:r>
              <w:rPr>
                <w:bCs/>
                <w:iCs/>
                <w:sz w:val="26"/>
                <w:szCs w:val="26"/>
              </w:rPr>
              <w:lastRenderedPageBreak/>
              <w:t xml:space="preserve">Sau hơn 04 năm triển khai thực hiện Quyết định số 33/2020/QĐ-UBND ngày 11 tháng 12 năm 2020 của Ủy ban nhân dân tỉnh, công tác quản lý hoạt động sáng kiến trên địa bàn tỉnh đã đạt được nhiều kết quả tích cực, góp phần thúc đẩy phong trào thi đua lao động sáng tạo, nâng cao hiệu quả công tác quản lý nhà nước, hoạt động chuyên môn, sản xuất và đời sống xã hội; nhiều sáng kiến được áp dụng hiệu quả, làm căn cứ xét tặng các danh hiệu thi đua, hình thức khen thưởng theo quy định. </w:t>
            </w:r>
            <w:r>
              <w:rPr>
                <w:bCs/>
                <w:iCs/>
                <w:sz w:val="26"/>
                <w:szCs w:val="26"/>
              </w:rPr>
              <w:br/>
              <w:t xml:space="preserve">Tuy nhiên, trong quá trình tổ chức thực hiện, một số quy định của Quyết định số 33/2020/QĐ-UBND đã bộc lộ những hạn chế, bất cập, chưa theo kịp sự thay đổi của hệ thống pháp luật về thi đua, khen </w:t>
            </w:r>
            <w:r>
              <w:rPr>
                <w:bCs/>
                <w:iCs/>
                <w:sz w:val="26"/>
                <w:szCs w:val="26"/>
              </w:rPr>
              <w:lastRenderedPageBreak/>
              <w:t>thưởng và yêu cầu thực tiễn, đặc biệt là các quy định mới của Luật Thi đua, khen thưởng năm 2022 và các văn bản hướng dẫn thi hành. Một số nội dung liên quan đến thẩm quyền, trình tự, thủ tục xét, công nhận sáng kiến; đánh giá hiệu quả áp dụng, phạm vi ảnh hưởng và khả năng nhân rộng của sáng kiến còn chưa rõ ràng, gây khó khăn, vướng mắc cho các cơ quan, đơn vị trong quá trình triển khai thực hiện.</w:t>
            </w:r>
            <w:r>
              <w:rPr>
                <w:bCs/>
                <w:iCs/>
                <w:sz w:val="26"/>
                <w:szCs w:val="26"/>
              </w:rPr>
              <w:br/>
              <w:t>Nhiều văn bản làm căn cứ pháp lý để ban hành Quyết định số 33/2020/QĐ-UBND đã được sửa đổi, bổ sung hoặc hết hiệu lực thi hành và được thay thế bằng văn bản khác, cụ thể:</w:t>
            </w:r>
            <w:r>
              <w:rPr>
                <w:bCs/>
                <w:iCs/>
                <w:sz w:val="26"/>
                <w:szCs w:val="26"/>
              </w:rPr>
              <w:br/>
              <w:t xml:space="preserve">(1) Luật tổ chức chính quyền địa phương ngày 19 tháng 6 năm 2015 (được thay thế bởi Luật Tổ chức chính quyền địa phương số 72/2025/QH15); </w:t>
            </w:r>
            <w:r>
              <w:rPr>
                <w:bCs/>
                <w:iCs/>
                <w:sz w:val="26"/>
                <w:szCs w:val="26"/>
              </w:rPr>
              <w:br/>
              <w:t>(2) Luật Ban hành văn bản quy phạm pháp luật ngày 22 tháng 6 năm 2015 (được thay thế bởi Luật Ban hành văn bản quy phạm pháp luật số 64/2025/QH15 được sửa đổi, bổ sung bởi Luật số 87/2025/QH15);</w:t>
            </w:r>
            <w:r>
              <w:rPr>
                <w:bCs/>
                <w:iCs/>
                <w:sz w:val="26"/>
                <w:szCs w:val="26"/>
              </w:rPr>
              <w:br/>
              <w:t xml:space="preserve">(3) Luật Khoa học và Công nghệ ngày 18 tháng 6 năm 2013 (được thay thế bởi Luật Khoa học, công </w:t>
            </w:r>
            <w:r>
              <w:rPr>
                <w:bCs/>
                <w:iCs/>
                <w:sz w:val="26"/>
                <w:szCs w:val="26"/>
              </w:rPr>
              <w:lastRenderedPageBreak/>
              <w:t>nghệ và đổi mới sáng tạo số 93/2025/QH15);</w:t>
            </w:r>
            <w:r>
              <w:rPr>
                <w:bCs/>
                <w:iCs/>
                <w:sz w:val="26"/>
                <w:szCs w:val="26"/>
              </w:rPr>
              <w:br/>
              <w:t>(4) Luật sửa đổi, bổ sung một số điều của Luật Thi đua, khen thưởng ngày 16 tháng 11 năm 2013 (được thay thế bởi Luật Thi đua, khen thưởng số 06/2022/QH15);</w:t>
            </w:r>
            <w:r>
              <w:rPr>
                <w:bCs/>
                <w:iCs/>
                <w:sz w:val="26"/>
                <w:szCs w:val="26"/>
              </w:rPr>
              <w:br/>
              <w:t xml:space="preserve">(5) Nghị định 91/2017/NĐ-CP ngày 31 tháng 7 năm 2017 của Chính phủ quy định chi tiết thi hành một số điều của Luật thi đua, khen thưởng (được thay thế bởi Nghị định số 152/2025/NĐ-CP ngày 14 tháng 6 năm 2025 của Chính phủ Quy định về phân cấp, phân quyền trong lĩnh vực thi đua, khen thưởng; quy định chi tiết và hướng dẫn thi hành một số điều của Luật Thi đua, khen thưởng); </w:t>
            </w:r>
            <w:r>
              <w:rPr>
                <w:bCs/>
                <w:iCs/>
                <w:sz w:val="26"/>
                <w:szCs w:val="26"/>
              </w:rPr>
              <w:br/>
              <w:t xml:space="preserve">(6) Thông tư số 12/2019/TT-BNV ngày 04 tháng 11 năm 2019 của Bộ trưởng Bộ Nội vụ quy định chi tiết thi hành một số điều của Luật Thi đua, khen thưởng (được thay thế bởi Thông tư số 15/2025/TT-BNV ngày 04 tháng 8 năm 2025 của Bộ Nội vụ Quy định biện pháp để tổ chức, hướng dẫn thi hành Luật Thi đua, khen thưởng và Nghị định số 152/2025/NĐ-CР ngày 14 tháng 6 năm 2025 của Chính phủ quy định về phân cấp, phân quyền trong lĩnh vực thi đua, khen thưởng; quy định </w:t>
            </w:r>
            <w:r>
              <w:rPr>
                <w:bCs/>
                <w:iCs/>
                <w:sz w:val="26"/>
                <w:szCs w:val="26"/>
              </w:rPr>
              <w:lastRenderedPageBreak/>
              <w:t>chi tiết và hướng dẫn thi hành một số điều của Luật Thi đua, khen thưởng);</w:t>
            </w:r>
            <w:r>
              <w:rPr>
                <w:bCs/>
                <w:iCs/>
                <w:sz w:val="26"/>
                <w:szCs w:val="26"/>
              </w:rPr>
              <w:br/>
              <w:t>Bên cạnh đó, việc triển khai mô hình chính quyền địa phương hai cấp từ tháng 7 năm 2025 đã làm thay đổi tổ chức bộ máy, chức năng, nhiệm vụ và thẩm quyền của một số cơ quan, đơn vị ở địa phương. Thực tiễn này đòi hỏi các quy định về quản lý hoạt động sáng kiến phải được rà soát, điều chỉnh cho phù hợp, bảo đảm rõ ràng về trách nhiệm của cơ quan, tổ chức, cá nhân trong việc tiếp nhận, xét, công nhận sáng kiến và sử dụng kết quả sáng kiến làm căn cứ xét thi đua, khen thưởng trong điều kiện tổ chức bộ máy mới.</w:t>
            </w:r>
            <w:r>
              <w:rPr>
                <w:bCs/>
                <w:iCs/>
                <w:sz w:val="26"/>
                <w:szCs w:val="26"/>
              </w:rPr>
              <w:br/>
              <w:t xml:space="preserve">Trên cơ sở ý kiến chỉ đạo của Chủ tịch Ủy ban nhân dân tỉnh tại Công văn của Văn phòng Ủy ban nhân dân tỉnh  về việc giao Sở Khoa học và Công nghệ chủ trì, phối hợp với các cơ quan, đơn vị liên quan khẩn trương tham mưu sửa đổi Quyết định số 33/2020/QĐ-UBND bảo đảm phù hợp với quy định của pháp luật hiện hành và tình hình thực tiễn của địa phương, Sở Khoa học và Công nghệ đã tổ chức rà soát toàn diện các nội dung của Quyết định số 33/2020/QĐ-UBND, qua quá trình rà soát, đánh giá cho thấy phạm vi </w:t>
            </w:r>
            <w:r>
              <w:rPr>
                <w:bCs/>
                <w:iCs/>
                <w:sz w:val="26"/>
                <w:szCs w:val="26"/>
              </w:rPr>
              <w:lastRenderedPageBreak/>
              <w:t xml:space="preserve">nội dung cần sửa đổi, bổ sung là lớn, liên quan đến nhiều Điều, khoản của Quy định hiện hành, bao gồm cả các nội dung về thẩm quyền, trình tự, thủ tục, tiêu chí đánh giá và tổ chức thực hiện (10/23 Điều sửa đổi, bổ sung; 04 Điều bổ sung mới và bổ sung 08 phụ lục kèm theo). Số lượng Điều, khoản cần sửa đổi, bổ sung chiếm trên một nửa tổng số Điều khoản của văn bản hiện hành, đồng thời có sự điều chỉnh cơ bản về cấu trúc, nội dung và cách tiếp cận quản lý. </w:t>
            </w:r>
            <w:r>
              <w:rPr>
                <w:bCs/>
                <w:iCs/>
                <w:sz w:val="26"/>
                <w:szCs w:val="26"/>
              </w:rPr>
              <w:br/>
              <w:t>Vì vậy, để bảo đảm tính đồng bộ, thống nhất, dễ áp dụng trong thực tiễn, tránh việc sửa đổi, bổ sung nhiều lần gây khó khăn trong tổ chức thực hiện và tra cứu văn bản, việc ban hành Quyết định thay thế Quyết định số 33/2020/QĐ-UBND là cần thiết và phù hợp với quy định của Luật Ban hành văn bản quy phạm pháp luật.</w:t>
            </w:r>
          </w:p>
        </w:tc>
        <w:tc>
          <w:tcPr>
            <w:tcW w:w="1417" w:type="dxa"/>
            <w:vAlign w:val="center"/>
          </w:tcPr>
          <w:p w:rsidR="0002639F" w:rsidRDefault="0002639F" w:rsidP="0002639F">
            <w:pPr>
              <w:jc w:val="both"/>
              <w:rPr>
                <w:bCs/>
                <w:iCs/>
                <w:sz w:val="26"/>
                <w:szCs w:val="26"/>
              </w:rPr>
            </w:pPr>
            <w:r>
              <w:rPr>
                <w:bCs/>
                <w:iCs/>
                <w:sz w:val="26"/>
                <w:szCs w:val="26"/>
              </w:rPr>
              <w:lastRenderedPageBreak/>
              <w:t>Thay thế</w:t>
            </w:r>
          </w:p>
        </w:tc>
        <w:tc>
          <w:tcPr>
            <w:tcW w:w="1275" w:type="dxa"/>
            <w:vAlign w:val="center"/>
          </w:tcPr>
          <w:p w:rsidR="0002639F" w:rsidRDefault="0002639F" w:rsidP="0002639F">
            <w:pPr>
              <w:jc w:val="both"/>
              <w:rPr>
                <w:bCs/>
                <w:iCs/>
                <w:sz w:val="26"/>
                <w:szCs w:val="26"/>
              </w:rPr>
            </w:pPr>
            <w:r>
              <w:rPr>
                <w:bCs/>
                <w:iCs/>
                <w:sz w:val="26"/>
                <w:szCs w:val="26"/>
              </w:rPr>
              <w:t>Năm 2026</w:t>
            </w:r>
          </w:p>
        </w:tc>
        <w:tc>
          <w:tcPr>
            <w:tcW w:w="1904" w:type="dxa"/>
            <w:vAlign w:val="center"/>
          </w:tcPr>
          <w:p w:rsidR="0002639F" w:rsidRDefault="0002639F" w:rsidP="0002639F">
            <w:pPr>
              <w:jc w:val="both"/>
              <w:rPr>
                <w:bCs/>
                <w:iCs/>
                <w:sz w:val="26"/>
                <w:szCs w:val="26"/>
              </w:rPr>
            </w:pPr>
            <w:r>
              <w:rPr>
                <w:bCs/>
                <w:iCs/>
                <w:sz w:val="26"/>
                <w:szCs w:val="26"/>
              </w:rPr>
              <w:t xml:space="preserve">Tiêu chí 1.2 - Tiêu chí về khoa học, công nghệ; Tiêu chí 2.4 </w:t>
            </w:r>
          </w:p>
        </w:tc>
        <w:tc>
          <w:tcPr>
            <w:tcW w:w="1710" w:type="dxa"/>
          </w:tcPr>
          <w:p w:rsidR="0002639F" w:rsidRPr="005F43E0" w:rsidRDefault="0002639F" w:rsidP="0002639F">
            <w:pPr>
              <w:jc w:val="both"/>
              <w:rPr>
                <w:sz w:val="24"/>
                <w:szCs w:val="22"/>
              </w:rPr>
            </w:pPr>
            <w:r w:rsidRPr="005F43E0">
              <w:rPr>
                <w:sz w:val="24"/>
                <w:szCs w:val="22"/>
              </w:rPr>
              <w:t>Cần làm rõ, hoàn thiện thêm : Đề nghị làm rõ điều, khoản có vướng mắc, bất cập, không còn phù hợp và chủ trương cụ thể cần tiếp tục thể chế hóa</w:t>
            </w:r>
          </w:p>
        </w:tc>
      </w:tr>
      <w:tr w:rsidR="0002639F">
        <w:tc>
          <w:tcPr>
            <w:tcW w:w="959" w:type="dxa"/>
            <w:vAlign w:val="center"/>
          </w:tcPr>
          <w:p w:rsidR="0002639F" w:rsidRDefault="0002639F" w:rsidP="0002639F">
            <w:pPr>
              <w:jc w:val="center"/>
              <w:rPr>
                <w:bCs/>
                <w:iCs/>
                <w:sz w:val="26"/>
                <w:szCs w:val="26"/>
              </w:rPr>
            </w:pPr>
            <w:r>
              <w:rPr>
                <w:bCs/>
                <w:iCs/>
                <w:sz w:val="26"/>
                <w:szCs w:val="26"/>
              </w:rPr>
              <w:lastRenderedPageBreak/>
              <w:t>3.</w:t>
            </w:r>
          </w:p>
        </w:tc>
        <w:tc>
          <w:tcPr>
            <w:tcW w:w="1848" w:type="dxa"/>
            <w:vAlign w:val="center"/>
          </w:tcPr>
          <w:p w:rsidR="0002639F" w:rsidRDefault="0002639F" w:rsidP="0002639F">
            <w:pPr>
              <w:jc w:val="both"/>
              <w:rPr>
                <w:bCs/>
                <w:iCs/>
                <w:sz w:val="26"/>
                <w:szCs w:val="26"/>
              </w:rPr>
            </w:pPr>
            <w:r>
              <w:rPr>
                <w:bCs/>
                <w:iCs/>
                <w:sz w:val="26"/>
                <w:szCs w:val="26"/>
              </w:rPr>
              <w:t xml:space="preserve">Quyết định số 36/2021/QĐ-UBND ngày 02/11/2021 của Uỷ ban nhân dân tỉnh Quyết định ban hành Quy định phân cấp quản lý nhà </w:t>
            </w:r>
            <w:r>
              <w:rPr>
                <w:bCs/>
                <w:iCs/>
                <w:sz w:val="26"/>
                <w:szCs w:val="26"/>
              </w:rPr>
              <w:lastRenderedPageBreak/>
              <w:t>nước trong lĩnh vực khoa học và công nghệ trên địa bàn tỉnh Cao Bằng</w:t>
            </w:r>
          </w:p>
        </w:tc>
        <w:tc>
          <w:tcPr>
            <w:tcW w:w="2121" w:type="dxa"/>
            <w:vAlign w:val="center"/>
          </w:tcPr>
          <w:p w:rsidR="0002639F" w:rsidRDefault="0002639F" w:rsidP="0002639F">
            <w:pPr>
              <w:jc w:val="both"/>
              <w:rPr>
                <w:bCs/>
                <w:iCs/>
                <w:sz w:val="26"/>
                <w:szCs w:val="26"/>
              </w:rPr>
            </w:pPr>
            <w:r>
              <w:rPr>
                <w:bCs/>
                <w:iCs/>
                <w:sz w:val="26"/>
                <w:szCs w:val="26"/>
              </w:rPr>
              <w:lastRenderedPageBreak/>
              <w:t>- Luật Tổ chức chính quyền địa phương số 72/2025/QH15;</w:t>
            </w:r>
            <w:r>
              <w:rPr>
                <w:bCs/>
                <w:iCs/>
                <w:sz w:val="26"/>
                <w:szCs w:val="26"/>
              </w:rPr>
              <w:br/>
              <w:t>- Luật Khoa học, công nghệ và đổi mới sáng tạo số 93/2025/QH15;</w:t>
            </w:r>
            <w:r>
              <w:rPr>
                <w:bCs/>
                <w:iCs/>
                <w:sz w:val="26"/>
                <w:szCs w:val="26"/>
              </w:rPr>
              <w:br/>
              <w:t xml:space="preserve"> - Luật Ban hành </w:t>
            </w:r>
            <w:r>
              <w:rPr>
                <w:bCs/>
                <w:iCs/>
                <w:sz w:val="26"/>
                <w:szCs w:val="26"/>
              </w:rPr>
              <w:lastRenderedPageBreak/>
              <w:t>văn bản quy phạm pháp luật số 64/2025/QH15 được sửa đổi, bổ sung bởi Luật số 87/2025/QH15;</w:t>
            </w:r>
            <w:r>
              <w:rPr>
                <w:bCs/>
                <w:iCs/>
                <w:sz w:val="26"/>
                <w:szCs w:val="26"/>
              </w:rPr>
              <w:br/>
              <w:t xml:space="preserve"> - Nghị định số 78/2025/NĐ-CP của Chính phủ quy định chi tiết một số điều và biện pháp để tổ chức, hướng dẫn thi hành Luật Ban hành văn bản quy phạm pháp luật được sửa đổi, bổ sung bởi Nghị định số 187/2025/NĐ-CP;</w:t>
            </w:r>
            <w:r>
              <w:rPr>
                <w:bCs/>
                <w:iCs/>
                <w:sz w:val="26"/>
                <w:szCs w:val="26"/>
              </w:rPr>
              <w:br/>
              <w:t xml:space="preserve">- Nghị định số 267/2025/NĐ-CP ngày 14/10/2025 của Chính phủ Quy định chi tiết và hướng dẫn một số điều của Luật Khoa học, công nghệ và đổi mới sáng tạo về chương trình, </w:t>
            </w:r>
            <w:r>
              <w:rPr>
                <w:bCs/>
                <w:iCs/>
                <w:sz w:val="26"/>
                <w:szCs w:val="26"/>
              </w:rPr>
              <w:lastRenderedPageBreak/>
              <w:t>nhiệm vụ khoa học, công nghệ và đổi mới sáng tạo và một số quy định về thúc đẩy hoạt động nghiên cứu khoa học, phát triển công nghệ và đổi mới sáng tạo;</w:t>
            </w:r>
            <w:r>
              <w:rPr>
                <w:bCs/>
                <w:iCs/>
                <w:sz w:val="26"/>
                <w:szCs w:val="26"/>
              </w:rPr>
              <w:br/>
              <w:t xml:space="preserve">- Thông tư số 36/2025/TT-BKHCN ngày 26 tháng 11 năm 2025 của Bộ trưởng Bộ Khoa học và Công nghệ Quy định khung về trình tự, thủ tục xây dựng, thẩm định, ban hành quản lý, tổ chức thực hiện chương trình tổ chức thực hiện chương trình khoa học, công nghệ và đổi mới sáng tạo và quy định về trình tự thủ tục xét tài trợ, đặt hàng, ký hợp đồng, tổ chức thực </w:t>
            </w:r>
            <w:r>
              <w:rPr>
                <w:bCs/>
                <w:iCs/>
                <w:sz w:val="26"/>
                <w:szCs w:val="26"/>
              </w:rPr>
              <w:lastRenderedPageBreak/>
              <w:t>hiện, chấm dứt thực hiện, thanh lý hợp đồng giao nhiệm vụ và đánh giá đối với nhiệm vụ khoa học, công nghệ và đổi mới sáng tạo;</w:t>
            </w:r>
            <w:r>
              <w:rPr>
                <w:bCs/>
                <w:iCs/>
                <w:sz w:val="26"/>
                <w:szCs w:val="26"/>
              </w:rPr>
              <w:br/>
              <w:t>- Thông tư số 09/2024/TT-BKHCN ngày 27 tháng 12 năm 2024 của Bộ Khoa học và Công nghệ Quy định quản lý nhiệm vụ khoa học công nghệ cấp tỉnh, cấp cơ sở sử dụng ngân sách nhà nước;</w:t>
            </w:r>
            <w:r>
              <w:rPr>
                <w:bCs/>
                <w:iCs/>
                <w:sz w:val="26"/>
                <w:szCs w:val="26"/>
              </w:rPr>
              <w:br/>
              <w:t>- Thông tư số 26/2025/TT-BTP ngày 12 tháng 12 năm 2025 của Bộ Tư pháp hướng dẫn xây dựng, ban hành văn bản quy phạm pháp luật;</w:t>
            </w:r>
            <w:r>
              <w:rPr>
                <w:bCs/>
                <w:iCs/>
                <w:sz w:val="26"/>
                <w:szCs w:val="26"/>
              </w:rPr>
              <w:br/>
              <w:t xml:space="preserve">- Quyết định số 36/2021/QĐ-UBND ngày 02 tháng 11 năm </w:t>
            </w:r>
            <w:r>
              <w:rPr>
                <w:bCs/>
                <w:iCs/>
                <w:sz w:val="26"/>
                <w:szCs w:val="26"/>
              </w:rPr>
              <w:lastRenderedPageBreak/>
              <w:t>2021 của Ủy ban nhân dân tỉnh Cao Bằng ban hành Quy định phân cấp quản lý nhà nước trong lĩnh vực khoa học và công nghệ trên địa bàn tỉnh Cao Bằng;</w:t>
            </w:r>
            <w:r>
              <w:rPr>
                <w:bCs/>
                <w:iCs/>
                <w:sz w:val="26"/>
                <w:szCs w:val="26"/>
              </w:rPr>
              <w:br/>
              <w:t xml:space="preserve"> - Thực tiễn triển khai công tác quản lý  nhà nước trong lĩnh vực khoa học và công nghệ trên địa bàn tỉnh.</w:t>
            </w:r>
          </w:p>
        </w:tc>
        <w:tc>
          <w:tcPr>
            <w:tcW w:w="4003" w:type="dxa"/>
            <w:vAlign w:val="center"/>
          </w:tcPr>
          <w:p w:rsidR="0002639F" w:rsidRDefault="0002639F" w:rsidP="0002639F">
            <w:pPr>
              <w:jc w:val="both"/>
              <w:rPr>
                <w:bCs/>
                <w:iCs/>
                <w:sz w:val="26"/>
                <w:szCs w:val="26"/>
              </w:rPr>
            </w:pPr>
            <w:r>
              <w:rPr>
                <w:bCs/>
                <w:iCs/>
                <w:sz w:val="26"/>
                <w:szCs w:val="26"/>
              </w:rPr>
              <w:lastRenderedPageBreak/>
              <w:t xml:space="preserve">Quyết định số 36/2021/QĐ-UBND đã tạo cơ sở pháp lý quan trọng cho việc phân định rõ trách nhiệm quản lý nhà nước về khoa học và công nghệ giữa các cấp, các ngành trên địa bàn tỉnh, cụ thể: Trong lĩnh vực quản lý hoạt động nghiên cứu, ứng dụng KH&amp;CN: Công tác xác định, đề xuất đặt hàng nhiệm vụ khoa học và công </w:t>
            </w:r>
            <w:r>
              <w:rPr>
                <w:bCs/>
                <w:iCs/>
                <w:sz w:val="26"/>
                <w:szCs w:val="26"/>
              </w:rPr>
              <w:lastRenderedPageBreak/>
              <w:t xml:space="preserve">nghệ được triển khai từ cấp tỉnh đến cấp cơ sở; các sở, ngành và địa phương chủ động hơn trong đề xuất nhiệm vụ gắn với nhu cầu thực tiễn; việc tuyển chọn, giao trực tiếp, quản lý và nghiệm thu nhiệm vụ KH&amp;CN được thực hiện theo đúng quy định. </w:t>
            </w:r>
            <w:r>
              <w:rPr>
                <w:bCs/>
                <w:iCs/>
                <w:sz w:val="26"/>
                <w:szCs w:val="26"/>
              </w:rPr>
              <w:br/>
              <w:t>Tuy nhiên hiện nay nhiều văn bản làm căn cứ pháp lý để ban hành Quyết định số 36/2021/QĐ-UBND đã được sửa đổi, bổ sung hoặc hết hiệu lực thi hành và được thay thế bằng văn bản khác, cụ thể: (1) Luật tổ chức chính quyền địa phương ngày 19 tháng 6 năm 2015 (được thay thế bởi Luật Tổ chức chính quyền địa phương số 72/2025/QH15) tiếp tục được điều chỉnh theo chủ trương đẩy mạnh phân cấp, phân quyền, nâng cao tính tự chủ, tự chịu trách nhiệm của chính quyền địa phương do đó một số nội dung phân cấp trong Quyết định chưa theo kịp yêu cầu thực tiễn quản lý hiện nay.</w:t>
            </w:r>
            <w:r>
              <w:rPr>
                <w:bCs/>
                <w:iCs/>
                <w:sz w:val="26"/>
                <w:szCs w:val="26"/>
              </w:rPr>
              <w:br/>
              <w:t>(2) Luật Ban hành văn bản quy phạm pháp luật ngày 22 tháng 6 năm 2015 (được thay thế bởi Luật Ban hành văn bản quy phạm pháp luật số</w:t>
            </w:r>
            <w:r>
              <w:rPr>
                <w:bCs/>
                <w:iCs/>
                <w:sz w:val="26"/>
                <w:szCs w:val="26"/>
              </w:rPr>
              <w:br/>
              <w:t xml:space="preserve">64/2025/QH15 được sửa đổi, bổ sung bởi Luật số 87/2025/QH15). (3) Luật Khoa học và Công nghệ </w:t>
            </w:r>
            <w:r>
              <w:rPr>
                <w:bCs/>
                <w:iCs/>
                <w:sz w:val="26"/>
                <w:szCs w:val="26"/>
              </w:rPr>
              <w:lastRenderedPageBreak/>
              <w:t>ngày 18 tháng 6 năm 2013 (được thay</w:t>
            </w:r>
            <w:r>
              <w:rPr>
                <w:bCs/>
                <w:iCs/>
                <w:sz w:val="26"/>
                <w:szCs w:val="26"/>
              </w:rPr>
              <w:br/>
              <w:t>thế bởi Luật Khoa học, công nghệ và đổi mới sáng tạo số 93/2025/QH15) và các văn bản hướng dẫn thi hành đã có nhiều thay đổi trong định hướng quản lý hoạt động khoa học, công nghệ và đổi mới sáng tạo; đặc biệt yêu cầu tăng cường quản lý theo kết quả đầu ra, chuyển đổi số trong quản lý nhiệm vụ khoa học và công nghệ, thương mại hóa kết quả nghiên cứu và phát triển hệ sinh thái đổi mới sáng tạo chưa được cập nhật trong Quyết định. (4) Nghị định 08/2014/NĐ-CP ngày 27 tháng 1 năm 2014 quy định chi tiết và hướng dẫn thi hành một số điều của Luật Khoa học và Công nghệ (được thay thế bằng Nghị định 267/2025/NĐ-CP ngày 14 tháng 10 năm 2025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p>
        </w:tc>
        <w:tc>
          <w:tcPr>
            <w:tcW w:w="1417" w:type="dxa"/>
            <w:vAlign w:val="center"/>
          </w:tcPr>
          <w:p w:rsidR="0002639F" w:rsidRDefault="0002639F" w:rsidP="0002639F">
            <w:pPr>
              <w:jc w:val="both"/>
              <w:rPr>
                <w:bCs/>
                <w:iCs/>
                <w:sz w:val="26"/>
                <w:szCs w:val="26"/>
              </w:rPr>
            </w:pPr>
            <w:r>
              <w:rPr>
                <w:bCs/>
                <w:iCs/>
                <w:sz w:val="26"/>
                <w:szCs w:val="26"/>
              </w:rPr>
              <w:lastRenderedPageBreak/>
              <w:t>Thay thế</w:t>
            </w:r>
          </w:p>
        </w:tc>
        <w:tc>
          <w:tcPr>
            <w:tcW w:w="1275" w:type="dxa"/>
            <w:vAlign w:val="center"/>
          </w:tcPr>
          <w:p w:rsidR="0002639F" w:rsidRDefault="0002639F" w:rsidP="0002639F">
            <w:pPr>
              <w:jc w:val="both"/>
              <w:rPr>
                <w:bCs/>
                <w:iCs/>
                <w:sz w:val="26"/>
                <w:szCs w:val="26"/>
              </w:rPr>
            </w:pPr>
            <w:r>
              <w:rPr>
                <w:bCs/>
                <w:iCs/>
                <w:sz w:val="26"/>
                <w:szCs w:val="26"/>
              </w:rPr>
              <w:t>Năm 2026</w:t>
            </w:r>
          </w:p>
        </w:tc>
        <w:tc>
          <w:tcPr>
            <w:tcW w:w="1904" w:type="dxa"/>
            <w:vAlign w:val="center"/>
          </w:tcPr>
          <w:p w:rsidR="0002639F" w:rsidRDefault="0002639F" w:rsidP="0002639F">
            <w:pPr>
              <w:jc w:val="both"/>
              <w:rPr>
                <w:bCs/>
                <w:iCs/>
                <w:sz w:val="26"/>
                <w:szCs w:val="26"/>
              </w:rPr>
            </w:pPr>
            <w:r>
              <w:rPr>
                <w:bCs/>
                <w:iCs/>
                <w:sz w:val="26"/>
                <w:szCs w:val="26"/>
              </w:rPr>
              <w:t xml:space="preserve">Tiêu chí 1.2 - Tiêu chí về khoa học, công nghệ; Tiêu chí 2.3 </w:t>
            </w:r>
          </w:p>
        </w:tc>
        <w:tc>
          <w:tcPr>
            <w:tcW w:w="1710" w:type="dxa"/>
            <w:vAlign w:val="center"/>
          </w:tcPr>
          <w:p w:rsidR="0002639F" w:rsidRDefault="0002639F" w:rsidP="0002639F">
            <w:pPr>
              <w:jc w:val="both"/>
              <w:rPr>
                <w:bCs/>
                <w:iCs/>
                <w:sz w:val="26"/>
                <w:szCs w:val="26"/>
              </w:rPr>
            </w:pPr>
            <w:r w:rsidRPr="005F43E0">
              <w:rPr>
                <w:sz w:val="24"/>
                <w:szCs w:val="22"/>
              </w:rPr>
              <w:t>Cần làm rõ, hoàn thiện thêm</w:t>
            </w:r>
            <w:bookmarkStart w:id="1" w:name="_GoBack"/>
            <w:bookmarkEnd w:id="1"/>
            <w:r w:rsidRPr="005F43E0">
              <w:rPr>
                <w:sz w:val="24"/>
                <w:szCs w:val="22"/>
              </w:rPr>
              <w:t xml:space="preserve">: Đề nghị làm rõ điều, khoản có vướng mắc, bất cập, không còn phù hợp và chủ trương cụ thể </w:t>
            </w:r>
            <w:r w:rsidRPr="005F43E0">
              <w:rPr>
                <w:sz w:val="24"/>
                <w:szCs w:val="22"/>
              </w:rPr>
              <w:lastRenderedPageBreak/>
              <w:t>cần tiếp tục thể chế hóa</w:t>
            </w:r>
          </w:p>
        </w:tc>
      </w:tr>
      <w:tr w:rsidR="0002639F" w:rsidRPr="007E433C" w:rsidTr="00793FD5">
        <w:tc>
          <w:tcPr>
            <w:tcW w:w="15237" w:type="dxa"/>
            <w:gridSpan w:val="8"/>
            <w:shd w:val="clear" w:color="auto" w:fill="F7CAAC" w:themeFill="accent2" w:themeFillTint="66"/>
            <w:vAlign w:val="center"/>
          </w:tcPr>
          <w:p w:rsidR="0002639F" w:rsidRPr="0013765E" w:rsidRDefault="0002639F" w:rsidP="0002639F">
            <w:pPr>
              <w:spacing w:before="120" w:after="120"/>
              <w:jc w:val="center"/>
              <w:rPr>
                <w:bCs/>
                <w:iCs/>
                <w:sz w:val="26"/>
                <w:szCs w:val="26"/>
              </w:rPr>
            </w:pPr>
            <w:r>
              <w:rPr>
                <w:b/>
                <w:sz w:val="26"/>
                <w:szCs w:val="26"/>
              </w:rPr>
              <w:lastRenderedPageBreak/>
              <w:t>Tổng số VB đề xuất xử lý: 3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9A560E" w:rsidRPr="009A560E" w:rsidRDefault="009A560E" w:rsidP="009A560E">
      <w:pPr>
        <w:shd w:val="clear" w:color="auto" w:fill="FFFFFF"/>
        <w:spacing w:before="120" w:after="120" w:line="360" w:lineRule="exact"/>
        <w:jc w:val="both"/>
        <w:rPr>
          <w:szCs w:val="28"/>
        </w:rPr>
      </w:pPr>
      <w:r w:rsidRPr="009A560E">
        <w:rPr>
          <w:b/>
          <w:i/>
          <w:szCs w:val="28"/>
        </w:rPr>
        <w:t>- Cơ quan rà soát:</w:t>
      </w:r>
      <w:r w:rsidRPr="009A560E">
        <w:rPr>
          <w:szCs w:val="28"/>
        </w:rPr>
        <w:t xml:space="preserve"> Điền tên</w:t>
      </w:r>
      <w:r w:rsidRPr="009A560E">
        <w:rPr>
          <w:szCs w:val="28"/>
          <w:lang w:val="vi-VN"/>
        </w:rPr>
        <w:t xml:space="preserve"> của</w:t>
      </w:r>
      <w:r w:rsidRPr="009A560E">
        <w:rPr>
          <w:szCs w:val="28"/>
        </w:rPr>
        <w:t xml:space="preserve"> cơ quan rà soát (Ví dụ: UBND thành phố Hà Nội, UBND tỉnh Quảng Ninh).</w:t>
      </w:r>
    </w:p>
    <w:p w:rsidR="009A560E" w:rsidRPr="009A560E" w:rsidRDefault="009A560E" w:rsidP="009A560E">
      <w:pPr>
        <w:shd w:val="clear" w:color="auto" w:fill="FFFFFF"/>
        <w:spacing w:before="120" w:after="120" w:line="360" w:lineRule="exact"/>
        <w:jc w:val="both"/>
        <w:rPr>
          <w:szCs w:val="28"/>
        </w:rPr>
      </w:pPr>
      <w:r w:rsidRPr="009A560E">
        <w:rPr>
          <w:b/>
          <w:bCs/>
          <w:i/>
          <w:iCs/>
          <w:szCs w:val="28"/>
        </w:rPr>
        <w:t>- Cột (2):</w:t>
      </w:r>
      <w:r w:rsidRPr="009A560E">
        <w:rPr>
          <w:szCs w:val="28"/>
        </w:rPr>
        <w:t xml:space="preserve"> </w:t>
      </w:r>
    </w:p>
    <w:p w:rsidR="009A560E" w:rsidRPr="009A560E" w:rsidRDefault="009A560E" w:rsidP="009A560E">
      <w:pPr>
        <w:shd w:val="clear" w:color="auto" w:fill="FFFFFF"/>
        <w:spacing w:before="120" w:after="120" w:line="360" w:lineRule="exact"/>
        <w:ind w:firstLine="567"/>
        <w:jc w:val="both"/>
        <w:rPr>
          <w:szCs w:val="28"/>
          <w:lang w:val="vi-VN"/>
        </w:rPr>
      </w:pPr>
      <w:r w:rsidRPr="009A560E">
        <w:rPr>
          <w:szCs w:val="28"/>
        </w:rPr>
        <w:t>+ Điền tên văn bản được rà soát (</w:t>
      </w:r>
      <w:r w:rsidRPr="009A560E">
        <w:rPr>
          <w:szCs w:val="28"/>
          <w:lang w:val="vi-VN"/>
        </w:rPr>
        <w:t xml:space="preserve">Ghi rõ </w:t>
      </w:r>
      <w:r w:rsidRPr="009A560E">
        <w:rPr>
          <w:szCs w:val="28"/>
        </w:rPr>
        <w:t>tên loại; số, ký hiệu; ngày, tháng, năm ban hành; tên cơ quan ban hành; trích yếu văn bản)</w:t>
      </w:r>
      <w:r w:rsidRPr="009A560E">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Ví dụ: </w:t>
      </w:r>
      <w:r w:rsidRPr="00902930">
        <w:rPr>
          <w:szCs w:val="28"/>
          <w:shd w:val="clear" w:color="auto" w:fill="FFFFFF"/>
          <w:lang w:val="vi-VN"/>
        </w:rPr>
        <w:t>Quyết định số </w:t>
      </w:r>
      <w:hyperlink r:id="rId10" w:tgtFrame="_blank" w:history="1">
        <w:r w:rsidRPr="00902930">
          <w:rPr>
            <w:szCs w:val="28"/>
            <w:bdr w:val="none" w:sz="0" w:space="0" w:color="auto" w:frame="1"/>
            <w:shd w:val="clear" w:color="auto" w:fill="FFFFFF"/>
            <w:lang w:val="vi-VN"/>
          </w:rPr>
          <w:t>33/2025/QĐ-UBND</w:t>
        </w:r>
      </w:hyperlink>
      <w:r w:rsidRPr="00902930">
        <w:rPr>
          <w:szCs w:val="28"/>
          <w:shd w:val="clear" w:color="auto" w:fill="FFFFFF"/>
          <w:lang w:val="vi-VN"/>
        </w:rPr>
        <w:t> ngày 21/4/2025 của UBND thành phố Hà Nội về việc ban hành khung giá dịch vụ quản lý vận hành nhà chung cư trên địa bàn thành phố Hà Nội</w:t>
      </w:r>
      <w:r w:rsidRPr="00902930">
        <w:rPr>
          <w:szCs w:val="28"/>
          <w:lang w:val="vi-VN"/>
        </w:rPr>
        <w:t xml:space="preserve">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lastRenderedPageBreak/>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sidRPr="009A560E">
        <w:rPr>
          <w:szCs w:val="28"/>
          <w:lang w:val="vi-VN"/>
        </w:rPr>
        <w:t xml:space="preserve"> văn bản</w:t>
      </w:r>
      <w:r w:rsidRPr="00902930">
        <w:rPr>
          <w:szCs w:val="28"/>
          <w:lang w:val="vi-VN"/>
        </w:rPr>
        <w:t>) từ văn bản được ban hành trước đến văn bản được ban hành sau.</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9A560E" w:rsidRPr="00902930" w:rsidRDefault="009A560E" w:rsidP="009A560E">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w:t>
      </w:r>
      <w:r w:rsidRPr="009A560E">
        <w:rPr>
          <w:szCs w:val="28"/>
          <w:lang w:val="vi-VN"/>
        </w:rPr>
        <w:t xml:space="preserve">. </w:t>
      </w:r>
      <w:r w:rsidRPr="00902930">
        <w:rPr>
          <w:szCs w:val="28"/>
          <w:lang w:val="vi-VN"/>
        </w:rPr>
        <w:t>Mỗi nội dung, quy định của văn bản được rà soát được điền tại 01 dòng khác nhau.</w:t>
      </w:r>
    </w:p>
    <w:p w:rsidR="009A560E" w:rsidRPr="00902930" w:rsidRDefault="009A560E" w:rsidP="009A560E">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9A560E" w:rsidRPr="009A560E" w:rsidRDefault="009A560E" w:rsidP="009A560E">
      <w:pPr>
        <w:shd w:val="clear" w:color="auto" w:fill="FFFFFF"/>
        <w:spacing w:before="120" w:after="120" w:line="360" w:lineRule="exact"/>
        <w:jc w:val="both"/>
        <w:rPr>
          <w:spacing w:val="-4"/>
          <w:szCs w:val="28"/>
          <w:lang w:val="nl-NL"/>
        </w:rPr>
      </w:pPr>
      <w:r w:rsidRPr="00902930">
        <w:rPr>
          <w:b/>
          <w:bCs/>
          <w:i/>
          <w:iCs/>
          <w:spacing w:val="-4"/>
          <w:szCs w:val="28"/>
          <w:lang w:val="vi-VN"/>
        </w:rPr>
        <w:t xml:space="preserve">- Cột (7): </w:t>
      </w:r>
      <w:r w:rsidRPr="00902930">
        <w:rPr>
          <w:spacing w:val="-4"/>
          <w:szCs w:val="28"/>
          <w:lang w:val="vi-VN"/>
        </w:rPr>
        <w:t>Điền tiêu chí rà soát tương ứng với từng nội dung, quy định của văn bản được rà soát cần phải xử lý</w:t>
      </w:r>
      <w:r w:rsidRPr="009A560E">
        <w:rPr>
          <w:spacing w:val="-4"/>
          <w:szCs w:val="28"/>
          <w:lang w:val="vi-VN"/>
        </w:rPr>
        <w:t>.</w:t>
      </w:r>
      <w:r w:rsidRPr="00902930">
        <w:rPr>
          <w:spacing w:val="-4"/>
          <w:szCs w:val="28"/>
          <w:lang w:val="vi-VN"/>
        </w:rPr>
        <w:t xml:space="preserve"> (Ví dụ: </w:t>
      </w:r>
      <w:r w:rsidRPr="009A560E">
        <w:rPr>
          <w:spacing w:val="-4"/>
          <w:szCs w:val="28"/>
          <w:lang w:val="nl-NL"/>
        </w:rPr>
        <w:t>Tiêu chí 2).</w:t>
      </w:r>
    </w:p>
    <w:p w:rsidR="009A560E" w:rsidRPr="009A560E" w:rsidRDefault="009A560E" w:rsidP="009A560E">
      <w:pPr>
        <w:spacing w:before="120" w:after="120" w:line="360" w:lineRule="exact"/>
        <w:ind w:firstLine="567"/>
        <w:jc w:val="both"/>
        <w:rPr>
          <w:lang w:val="nl-NL"/>
        </w:rPr>
      </w:pPr>
      <w:r w:rsidRPr="009A560E">
        <w:rPr>
          <w:lang w:val="nl-NL"/>
        </w:rPr>
        <w:t>Trường hợp kết quả rà soát một nội dung, quy định của VBQPPL đồng thời liên quan đến nhiều tiêu chí khác nhau thì ghi tất cả các tiêu chí (Ví dụ: Tiêu chí 2; Tiêu chí 4).</w:t>
      </w:r>
    </w:p>
    <w:p w:rsidR="009A560E" w:rsidRPr="009A560E" w:rsidRDefault="009A560E" w:rsidP="009A560E">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nội dung, quy định của văn bản nếu cần </w:t>
      </w:r>
      <w:r w:rsidRPr="00902930">
        <w:rPr>
          <w:b/>
          <w:bCs/>
          <w:lang w:val="nl-NL"/>
        </w:rPr>
        <w:t xml:space="preserve">tạm ngưng hiệu lực một phần; </w:t>
      </w:r>
      <w:r w:rsidRPr="009A560E">
        <w:rPr>
          <w:b/>
          <w:bCs/>
          <w:shd w:val="clear" w:color="auto" w:fill="FFFFFF"/>
          <w:lang w:val="nl-NL"/>
        </w:rPr>
        <w:t>hướng dẫn áp dụng VBQPPL</w:t>
      </w:r>
      <w:r w:rsidRPr="009A560E">
        <w:rPr>
          <w:shd w:val="clear" w:color="auto" w:fill="FFFFFF"/>
          <w:lang w:val="nl-NL"/>
        </w:rPr>
        <w:t>.</w:t>
      </w:r>
    </w:p>
    <w:p w:rsidR="009A560E" w:rsidRPr="009A560E" w:rsidRDefault="009A560E" w:rsidP="009A560E">
      <w:pPr>
        <w:spacing w:before="120" w:after="120" w:line="360" w:lineRule="exact"/>
        <w:ind w:firstLine="567"/>
        <w:jc w:val="both"/>
        <w:rPr>
          <w:iCs/>
          <w:spacing w:val="-2"/>
          <w:szCs w:val="28"/>
          <w:shd w:val="clear" w:color="auto" w:fill="FFFFFF"/>
          <w:lang w:val="nl-NL"/>
        </w:rPr>
      </w:pPr>
      <w:r w:rsidRPr="009A560E">
        <w:rPr>
          <w:shd w:val="clear" w:color="auto" w:fill="FFFFFF"/>
          <w:lang w:val="nl-NL"/>
        </w:rPr>
        <w:t xml:space="preserve">Ví dụ: Nếu “nội dung 1” của văn bản A cần tạm ngưng hiệu lực thì ghi “Tạm ngưng hiệu lực một phần”. </w:t>
      </w:r>
    </w:p>
    <w:p w:rsidR="009A560E" w:rsidRPr="00902930" w:rsidRDefault="009A560E" w:rsidP="009A560E">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9A560E" w:rsidRPr="00902930" w:rsidRDefault="009A560E" w:rsidP="009A560E">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9A560E" w:rsidRPr="00902930" w:rsidRDefault="009A560E" w:rsidP="009A560E">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9A560E" w:rsidRPr="00902930" w:rsidRDefault="009A560E" w:rsidP="009A560E">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9A560E" w:rsidRPr="00902930" w:rsidRDefault="009A560E" w:rsidP="009A560E">
      <w:pPr>
        <w:spacing w:before="120" w:after="120" w:line="360" w:lineRule="exact"/>
        <w:ind w:firstLine="567"/>
        <w:jc w:val="both"/>
        <w:rPr>
          <w:bCs/>
          <w:szCs w:val="28"/>
          <w:lang w:val="nl-NL"/>
        </w:rPr>
      </w:pPr>
      <w:bookmarkStart w:id="2" w:name="_Hlk225194178"/>
      <w:bookmarkStart w:id="3" w:name="_Hlk226971132"/>
      <w:r w:rsidRPr="00902930">
        <w:rPr>
          <w:bCs/>
          <w:szCs w:val="28"/>
          <w:lang w:val="nl-NL"/>
        </w:rPr>
        <w:t xml:space="preserve">+ Tên các lĩnh vực: Theo tên của cơ quan chuyên môn thuộc UBND cấp tỉnh (trừ VBQPPL do Văn phòng UBND rà soát) (Ví dụ: Lĩnh vực Tư pháp, Lĩnh vực Tài chính...). </w:t>
      </w:r>
    </w:p>
    <w:p w:rsidR="009A560E" w:rsidRPr="00902930" w:rsidRDefault="009A560E" w:rsidP="009A560E">
      <w:pPr>
        <w:spacing w:before="120" w:after="120" w:line="360" w:lineRule="exact"/>
        <w:ind w:firstLine="567"/>
        <w:jc w:val="both"/>
        <w:rPr>
          <w:bCs/>
          <w:sz w:val="26"/>
          <w:szCs w:val="26"/>
          <w:lang w:val="nl-NL"/>
        </w:rPr>
      </w:pPr>
      <w:r w:rsidRPr="00902930">
        <w:rPr>
          <w:bCs/>
          <w:szCs w:val="28"/>
          <w:lang w:val="nl-NL"/>
        </w:rPr>
        <w:lastRenderedPageBreak/>
        <w:t>+ Lĩnh vực khác: Gồm các VBQPPL do Văn phòng UBND và các cơ quan không phải các cơ quan chuyên môn thuộc UBND cấp tỉnh thực hiện rà soát.</w:t>
      </w:r>
    </w:p>
    <w:p w:rsidR="009A560E" w:rsidRPr="00902930" w:rsidRDefault="009A560E" w:rsidP="009A560E">
      <w:pPr>
        <w:spacing w:before="120" w:after="120" w:line="360" w:lineRule="exact"/>
        <w:ind w:firstLine="567"/>
        <w:jc w:val="both"/>
        <w:rPr>
          <w:bCs/>
          <w:sz w:val="26"/>
          <w:szCs w:val="26"/>
          <w:lang w:val="nl-NL"/>
        </w:rPr>
      </w:pPr>
      <w:r w:rsidRPr="00902930">
        <w:rPr>
          <w:bCs/>
          <w:i/>
          <w:iCs/>
          <w:szCs w:val="28"/>
          <w:lang w:val="nl-NL"/>
        </w:rPr>
        <w:t>+</w:t>
      </w:r>
      <w:r w:rsidRPr="00902930">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A260A8" w:rsidRDefault="00A260A8" w:rsidP="00B31B86">
      <w:pPr>
        <w:spacing w:before="120" w:after="120" w:line="360" w:lineRule="exact"/>
        <w:ind w:firstLine="567"/>
        <w:jc w:val="both"/>
        <w:rPr>
          <w:bCs/>
          <w:sz w:val="26"/>
          <w:szCs w:val="26"/>
        </w:rPr>
      </w:pPr>
    </w:p>
    <w:sectPr w:rsidR="00A260A8" w:rsidSect="00402E64">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D41" w:rsidRDefault="00631D41">
      <w:r>
        <w:separator/>
      </w:r>
    </w:p>
  </w:endnote>
  <w:endnote w:type="continuationSeparator" w:id="0">
    <w:p w:rsidR="00631D41" w:rsidRDefault="0063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D41" w:rsidRDefault="00631D41">
      <w:r>
        <w:separator/>
      </w:r>
    </w:p>
  </w:footnote>
  <w:footnote w:type="continuationSeparator" w:id="0">
    <w:p w:rsidR="00631D41" w:rsidRDefault="00631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2639F"/>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53220"/>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31D41"/>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9E4CA"/>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54E619C1-1CC8-4791-9C34-B1EAE5363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13</Pages>
  <Words>2771</Words>
  <Characters>15801</Characters>
  <Application>Microsoft Office Word</Application>
  <DocSecurity>0</DocSecurity>
  <Lines>131</Lines>
  <Paragraphs>37</Paragraphs>
  <ScaleCrop>false</ScaleCrop>
  <Company>Truong</Company>
  <LinksUpToDate>false</LinksUpToDate>
  <CharactersWithSpaces>18535</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2026-08-04T09:24:00Z</dcterms:modified>
</cp:coreProperties>
</file>