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5969" w:rsidRPr="007E433C" w:rsidRDefault="00BA25BB" w:rsidP="000737C8">
      <w:pPr>
        <w:ind w:right="-13"/>
        <w:jc w:val="center"/>
        <w:rPr>
          <w:b/>
          <w:szCs w:val="28"/>
        </w:rPr>
      </w:pPr>
      <w:r>
        <w:rPr>
          <w:b/>
          <w:szCs w:val="28"/>
        </w:rPr>
        <w:t>Mẫu 04-T</w:t>
      </w:r>
    </w:p>
    <w:p w:rsidR="001A7DF5" w:rsidRDefault="001A7DF5" w:rsidP="001A7DF5">
      <w:pPr>
        <w:spacing w:before="120"/>
        <w:jc w:val="center"/>
        <w:rPr>
          <w:sz w:val="27"/>
          <w:szCs w:val="27"/>
        </w:rPr>
      </w:pPr>
      <w:r>
        <w:rPr>
          <w:i/>
          <w:sz w:val="27"/>
          <w:szCs w:val="27"/>
        </w:rPr>
        <w:t xml:space="preserve">(Kèm theo Hướng dẫn số </w:t>
      </w:r>
      <w:r w:rsidR="00022AF8">
        <w:rPr>
          <w:i/>
          <w:sz w:val="27"/>
          <w:szCs w:val="27"/>
        </w:rPr>
        <w:t>06</w:t>
      </w:r>
      <w:r>
        <w:rPr>
          <w:i/>
          <w:sz w:val="27"/>
          <w:szCs w:val="27"/>
        </w:rPr>
        <w:t xml:space="preserve">/HD-BCĐ ngày </w:t>
      </w:r>
      <w:r w:rsidR="00022AF8">
        <w:rPr>
          <w:i/>
          <w:sz w:val="27"/>
          <w:szCs w:val="27"/>
        </w:rPr>
        <w:t>22</w:t>
      </w:r>
      <w:r>
        <w:rPr>
          <w:i/>
          <w:sz w:val="27"/>
          <w:szCs w:val="27"/>
        </w:rPr>
        <w:t>/4/2026 của Ban Chỉ đạo)</w:t>
      </w:r>
    </w:p>
    <w:p w:rsidR="008650E1" w:rsidRPr="007E433C" w:rsidRDefault="00E41AFA" w:rsidP="000737C8">
      <w:pPr>
        <w:ind w:right="-13"/>
        <w:jc w:val="center"/>
        <w:rPr>
          <w:b/>
          <w:sz w:val="26"/>
          <w:szCs w:val="26"/>
        </w:rPr>
      </w:pPr>
      <w:r w:rsidRPr="007E433C">
        <w:rPr>
          <w:b/>
          <w:noProof/>
          <w:sz w:val="26"/>
          <w:szCs w:val="26"/>
          <w:lang w:val="en-ZW" w:eastAsia="ja-JP"/>
        </w:rPr>
        <mc:AlternateContent>
          <mc:Choice Requires="wps">
            <w:drawing>
              <wp:anchor distT="0" distB="0" distL="114300" distR="114300" simplePos="0" relativeHeight="251658240" behindDoc="0" locked="0" layoutInCell="1" allowOverlap="1" wp14:anchorId="70171ACB" wp14:editId="07777777">
                <wp:simplePos x="0" y="0"/>
                <wp:positionH relativeFrom="column">
                  <wp:posOffset>3699510</wp:posOffset>
                </wp:positionH>
                <wp:positionV relativeFrom="paragraph">
                  <wp:posOffset>53975</wp:posOffset>
                </wp:positionV>
                <wp:extent cx="1828800" cy="0"/>
                <wp:effectExtent l="13335" t="6350" r="5715" b="12700"/>
                <wp:wrapNone/>
                <wp:docPr id="1495822126"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wp14="http://schemas.microsoft.com/office/word/2010/wordml" xmlns:a14="http://schemas.microsoft.com/office/drawing/2010/main" xmlns:a="http://schemas.openxmlformats.org/drawingml/2006/main">
            <w:pict w14:anchorId="6635EA14">
              <v:shapetype id="_x0000_t32" coordsize="21600,21600" o:oned="t" filled="f" o:spt="32" path="m,l21600,21600e" w14:anchorId="60F95016">
                <v:path fillok="f" arrowok="t" o:connecttype="none"/>
                <o:lock v:ext="edit" shapetype="t"/>
              </v:shapetype>
              <v:shape id="AutoShape 5" style="position:absolute;margin-left:291.3pt;margin-top:4.25pt;width:2in;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2Mns2twEAAFYDAAAOAAAAZHJzL2Uyb0RvYy54bWysU8Fu2zAMvQ/YPwi6L7YDdMiMOD2k6y7d FqDdBzCSbAuTRYFU4uTvJ6lJVmy3YT4IlEg+Pj7S6/vT5MTREFv0nWwWtRTGK9TWD5388fL4YSUF R/AaHHrTybNheb95/249h9YscUSnDYkE4rmdQyfHGENbVaxGMwEvMBifnD3SBDFdaag0wZzQJ1ct 6/pjNSPpQKgMc3p9eHXKTcHve6Pi975nE4XrZOIWy0nl3Oez2qyhHQjCaNWFBvwDiwmsT0VvUA8Q QRzI/gU1WUXI2MeFwqnCvrfKlB5SN039RzfPIwRTeknicLjJxP8PVn07bv2OMnV18s/hCdVPFh63 I/jBFAIv55AG12Spqjlwe0vJFw47Evv5K+oUA4eIRYVTT1OGTP2JUxH7fBPbnKJQ6bFZLVerOs1E XX0VtNfEQBy/GJxENjrJkcAOY9yi92mkSE0pA8cnjpkWtNeEXNXjo3WuTNZ5MXfy093yriQwOquz M4cxDfutI3GEvBvlKz0mz9swwoPXBWw0oD9f7AjWvdqpuPMXabIaefW43aM+7+gqWRpeYXlZtLwd b+8l+/fvsPkFAAD//wMAUEsDBBQABgAIAAAAIQBcAD6w2gAAAAcBAAAPAAAAZHJzL2Rvd25yZXYu eG1sTI7BTsMwEETvSPyDtUhcELUbKSWkcaoKiQNH2kpc3XibBOJ1FDtN6NezcKHHpxnNvGIzu06c cQitJw3LhQKBVHnbUq3hsH99zECEaMiazhNq+MYAm/L2pjC59RO943kXa8EjFHKjoYmxz6UMVYPO hIXvkTg7+cGZyDjU0g5m4nHXyUSplXSmJX5oTI8vDVZfu9FpwDCmS7V9dvXh7TI9fCSXz6nfa31/ N2/XICLO8b8Mv/qsDiU7Hf1INohOQ5olK65qyFIQnGdPivn4x7Is5LV/+QMAAP//AwBQSwECLQAU AAYACAAAACEAtoM4kv4AAADhAQAAEwAAAAAAAAAAAAAAAAAAAAAAW0NvbnRlbnRfVHlwZXNdLnht bFBLAQItABQABgAIAAAAIQA4/SH/1gAAAJQBAAALAAAAAAAAAAAAAAAAAC8BAABfcmVscy8ucmVs c1BLAQItABQABgAIAAAAIQD2Mns2twEAAFYDAAAOAAAAAAAAAAAAAAAAAC4CAABkcnMvZTJvRG9j LnhtbFBLAQItABQABgAIAAAAIQBcAD6w2gAAAAcBAAAPAAAAAAAAAAAAAAAAABEEAABkcnMvZG93 bnJldi54bWxQSwUGAAAAAAQABADzAAAAGAUAAAAA "/>
            </w:pict>
          </mc:Fallback>
        </mc:AlternateContent>
      </w:r>
    </w:p>
    <w:p w:rsidR="003C6521" w:rsidRPr="007E433C" w:rsidRDefault="003C6521" w:rsidP="00A306EB">
      <w:pPr>
        <w:widowControl w:val="0"/>
        <w:spacing w:before="120" w:after="120" w:line="360" w:lineRule="exact"/>
        <w:ind w:firstLine="567"/>
        <w:jc w:val="both"/>
        <w:rPr>
          <w:b/>
          <w:szCs w:val="28"/>
        </w:rPr>
      </w:pPr>
      <w:r w:rsidRPr="007E433C">
        <w:rPr>
          <w:b/>
          <w:szCs w:val="28"/>
        </w:rPr>
        <w:t xml:space="preserve">Lưu ý: </w:t>
      </w:r>
    </w:p>
    <w:p w:rsidR="003C6521" w:rsidRPr="007E433C" w:rsidRDefault="003C6521" w:rsidP="00A306EB">
      <w:pPr>
        <w:widowControl w:val="0"/>
        <w:spacing w:before="120" w:after="120" w:line="360" w:lineRule="exact"/>
        <w:ind w:firstLine="567"/>
        <w:jc w:val="both"/>
        <w:rPr>
          <w:bCs/>
          <w:szCs w:val="28"/>
        </w:rPr>
      </w:pPr>
      <w:r w:rsidRPr="007E433C">
        <w:rPr>
          <w:bCs/>
          <w:szCs w:val="28"/>
        </w:rPr>
        <w:t xml:space="preserve">- Các cơ quan đồng thời thực hiện xây dựng Báo cáo và tổng hợp kết quả tổng rà soát trên </w:t>
      </w:r>
      <w:r w:rsidRPr="007E433C">
        <w:rPr>
          <w:bCs/>
        </w:rPr>
        <w:t xml:space="preserve">Phần mềm hỗ trợ kiểm tra, rà soát VBQPPL </w:t>
      </w:r>
      <w:r w:rsidR="000737C8" w:rsidRPr="007E433C">
        <w:rPr>
          <w:bCs/>
        </w:rPr>
        <w:t>tại</w:t>
      </w:r>
      <w:r w:rsidR="000737C8" w:rsidRPr="007E433C">
        <w:rPr>
          <w:bCs/>
          <w:lang w:val="vi-VN"/>
        </w:rPr>
        <w:t xml:space="preserve"> </w:t>
      </w:r>
      <w:r w:rsidRPr="007E433C">
        <w:rPr>
          <w:bCs/>
          <w:szCs w:val="28"/>
        </w:rPr>
        <w:t xml:space="preserve">địa chỉ: </w:t>
      </w:r>
      <w:r w:rsidRPr="007E433C">
        <w:rPr>
          <w:b/>
        </w:rPr>
        <w:t>https://kiemtrarasoat.moj.gov.vn</w:t>
      </w:r>
      <w:r w:rsidRPr="007E433C">
        <w:rPr>
          <w:bCs/>
          <w:szCs w:val="28"/>
        </w:rPr>
        <w:t>.</w:t>
      </w:r>
    </w:p>
    <w:p w:rsidR="003C6521" w:rsidRPr="007E433C" w:rsidRDefault="003C6521" w:rsidP="00A306EB">
      <w:pPr>
        <w:widowControl w:val="0"/>
        <w:spacing w:before="120" w:after="120" w:line="360" w:lineRule="exact"/>
        <w:ind w:firstLine="567"/>
        <w:jc w:val="both"/>
        <w:rPr>
          <w:bCs/>
          <w:color w:val="000000"/>
          <w:szCs w:val="28"/>
        </w:rPr>
      </w:pPr>
      <w:r w:rsidRPr="007E433C">
        <w:rPr>
          <w:b/>
          <w:szCs w:val="28"/>
        </w:rPr>
        <w:t xml:space="preserve">- </w:t>
      </w:r>
      <w:r w:rsidRPr="007E433C">
        <w:rPr>
          <w:bCs/>
          <w:szCs w:val="28"/>
        </w:rPr>
        <w:t>Các cơ quan thực hiện việc nhập kết quả rà soát vào các Phụ lục</w:t>
      </w:r>
      <w:r w:rsidRPr="007E433C">
        <w:rPr>
          <w:b/>
          <w:szCs w:val="28"/>
        </w:rPr>
        <w:t xml:space="preserve"> </w:t>
      </w:r>
      <w:r w:rsidRPr="007E433C">
        <w:rPr>
          <w:b/>
          <w:szCs w:val="28"/>
          <w:u w:val="single"/>
        </w:rPr>
        <w:t>theo hình thức trực tuyến</w:t>
      </w:r>
      <w:r w:rsidRPr="007E433C">
        <w:rPr>
          <w:b/>
          <w:szCs w:val="28"/>
        </w:rPr>
        <w:t xml:space="preserve"> hoặc </w:t>
      </w:r>
      <w:r w:rsidRPr="007E433C">
        <w:rPr>
          <w:b/>
          <w:szCs w:val="28"/>
          <w:u w:val="single"/>
        </w:rPr>
        <w:t xml:space="preserve">theo mẫu </w:t>
      </w:r>
      <w:r w:rsidRPr="007E433C">
        <w:rPr>
          <w:b/>
          <w:i/>
          <w:iCs/>
          <w:szCs w:val="28"/>
          <w:u w:val="single"/>
        </w:rPr>
        <w:t>(định dạng file excel)</w:t>
      </w:r>
      <w:r w:rsidRPr="007E433C">
        <w:rPr>
          <w:bCs/>
          <w:szCs w:val="28"/>
        </w:rPr>
        <w:t xml:space="preserve"> </w:t>
      </w:r>
      <w:r w:rsidRPr="007E433C">
        <w:rPr>
          <w:b/>
          <w:szCs w:val="28"/>
        </w:rPr>
        <w:t>tải</w:t>
      </w:r>
      <w:r w:rsidR="000737C8" w:rsidRPr="007E433C">
        <w:rPr>
          <w:b/>
          <w:szCs w:val="28"/>
          <w:lang w:val="vi-VN"/>
        </w:rPr>
        <w:t xml:space="preserve"> xuống</w:t>
      </w:r>
      <w:r w:rsidRPr="007E433C">
        <w:rPr>
          <w:bCs/>
          <w:szCs w:val="28"/>
        </w:rPr>
        <w:t xml:space="preserve"> từ địa chỉ: </w:t>
      </w:r>
      <w:r w:rsidRPr="007E433C">
        <w:rPr>
          <w:b/>
        </w:rPr>
        <w:t>https://kiemtrarasoat.moj.gov.vn.</w:t>
      </w:r>
    </w:p>
    <w:p w:rsidR="003C6521" w:rsidRPr="007E433C" w:rsidRDefault="003C6521" w:rsidP="00A306EB">
      <w:pPr>
        <w:widowControl w:val="0"/>
        <w:spacing w:before="120" w:after="120" w:line="360" w:lineRule="exact"/>
        <w:ind w:firstLine="567"/>
        <w:jc w:val="both"/>
        <w:rPr>
          <w:b/>
          <w:szCs w:val="28"/>
        </w:rPr>
      </w:pPr>
      <w:r>
        <w:rPr>
          <w:bCs/>
          <w:color w:val="000000"/>
          <w:szCs w:val="28"/>
        </w:rPr>
        <w:t xml:space="preserve"> - Sau khi kết quả tổng rà soát được đưa lên Phần mềm hỗ trợ kiểm tra, rà soát VBQPPL, các cơ quan trích xuất Phụ lục (định dạng file word) như mẫu dưới đây để đính kèm Báo cáo gửi về Bộ Tư pháp.</w:t>
      </w:r>
    </w:p>
    <w:p w:rsidR="00A272F3" w:rsidRPr="007E433C" w:rsidRDefault="00A272F3" w:rsidP="000737C8">
      <w:pPr>
        <w:ind w:right="-13"/>
        <w:jc w:val="center"/>
        <w:rPr>
          <w:b/>
          <w:sz w:val="26"/>
          <w:szCs w:val="26"/>
        </w:rPr>
      </w:pPr>
      <w:r w:rsidRPr="007E433C">
        <w:rPr>
          <w:b/>
          <w:sz w:val="26"/>
          <w:szCs w:val="26"/>
        </w:rPr>
        <w:t>Phụ lục</w:t>
      </w:r>
      <w:r w:rsidR="009B5012" w:rsidRPr="007E433C">
        <w:rPr>
          <w:b/>
          <w:sz w:val="26"/>
          <w:szCs w:val="26"/>
        </w:rPr>
        <w:t xml:space="preserve"> </w:t>
      </w:r>
      <w:r w:rsidR="00003D5B" w:rsidRPr="007E433C">
        <w:rPr>
          <w:b/>
          <w:sz w:val="26"/>
          <w:szCs w:val="26"/>
        </w:rPr>
        <w:t>II</w:t>
      </w:r>
    </w:p>
    <w:p w:rsidR="006858D9" w:rsidRPr="007E433C" w:rsidRDefault="006858D9" w:rsidP="000737C8">
      <w:pPr>
        <w:ind w:right="-13"/>
        <w:jc w:val="center"/>
        <w:rPr>
          <w:b/>
          <w:sz w:val="26"/>
          <w:szCs w:val="26"/>
        </w:rPr>
      </w:pPr>
      <w:r w:rsidRPr="007E433C">
        <w:rPr>
          <w:b/>
          <w:sz w:val="26"/>
          <w:szCs w:val="26"/>
        </w:rPr>
        <w:t>DANH MỤC</w:t>
      </w:r>
    </w:p>
    <w:p w:rsidR="000243B7" w:rsidRPr="007E433C" w:rsidRDefault="00A45A2E" w:rsidP="00A45A2E">
      <w:pPr>
        <w:shd w:val="clear" w:color="auto" w:fill="FFFFFF"/>
        <w:jc w:val="center"/>
        <w:rPr>
          <w:color w:val="000000"/>
          <w:szCs w:val="28"/>
        </w:rPr>
      </w:pPr>
      <w:r>
        <w:rPr>
          <w:b/>
          <w:bCs/>
          <w:szCs w:val="28"/>
        </w:rPr>
        <w:t xml:space="preserve">Văn bản quy phạm pháp luật của HĐND, UBND, Chủ tịch UBND cấp tỉnh đề xuất sửa đổi, bổ sung; </w:t>
      </w:r>
      <w:r>
        <w:rPr>
          <w:b/>
          <w:bCs/>
          <w:szCs w:val="28"/>
        </w:rPr>
        <w:br/>
        <w:t>thay thế; tạm ngưng hiệu lực, bãi bỏ một phần</w:t>
      </w:r>
    </w:p>
    <w:p w:rsidR="006B528A" w:rsidRPr="00E07D07" w:rsidRDefault="006B528A" w:rsidP="006B528A">
      <w:pPr>
        <w:tabs>
          <w:tab w:val="right" w:leader="dot" w:pos="6804"/>
        </w:tabs>
        <w:jc w:val="center"/>
        <w:rPr>
          <w:b/>
          <w:sz w:val="26"/>
          <w:szCs w:val="26"/>
          <w:vertAlign w:val="superscript"/>
        </w:rPr>
      </w:pPr>
      <w:bookmarkStart w:id="0" w:name="_Hlk227595043"/>
      <w:r>
        <w:rPr>
          <w:b/>
          <w:sz w:val="26"/>
          <w:szCs w:val="26"/>
        </w:rPr>
        <w:t>Cơ quan rà soát: UBND Thành phố Đồng Nai</w:t>
      </w:r>
    </w:p>
    <w:p w:rsidR="006B528A" w:rsidRDefault="00E41AFA" w:rsidP="006B528A">
      <w:pPr>
        <w:jc w:val="center"/>
        <w:rPr>
          <w:bCs/>
          <w:i/>
          <w:iCs/>
          <w:sz w:val="26"/>
          <w:szCs w:val="26"/>
        </w:rPr>
      </w:pPr>
      <w:r>
        <w:rPr>
          <w:bCs/>
          <w:noProof/>
          <w:sz w:val="26"/>
          <w:szCs w:val="26"/>
          <w:lang w:val="en-ZW" w:eastAsia="ja-JP"/>
        </w:rPr>
        <w:t>(Kèm theo Báo cáo số: ......... ngày ......... của UBND Thành phố Đồng Nai)</w:t>
      </w:r>
    </w:p>
    <w:bookmarkEnd w:id="0"/>
    <w:p w:rsidR="00A34F3D" w:rsidRPr="007E433C" w:rsidRDefault="00A34F3D" w:rsidP="00865F69">
      <w:pPr>
        <w:jc w:val="center"/>
        <w:rPr>
          <w:bCs/>
          <w:i/>
          <w:iCs/>
          <w:sz w:val="26"/>
          <w:szCs w:val="26"/>
        </w:rPr>
      </w:pPr>
    </w:p>
    <w:tbl>
      <w:tblPr>
        <w:tblpPr w:leftFromText="180" w:rightFromText="180" w:vertAnchor="text" w:tblpXSpec="center" w:tblpY="1"/>
        <w:tblOverlap w:val="never"/>
        <w:tblW w:w="15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848"/>
        <w:gridCol w:w="2121"/>
        <w:gridCol w:w="4003"/>
        <w:gridCol w:w="1417"/>
        <w:gridCol w:w="1275"/>
        <w:gridCol w:w="1904"/>
        <w:gridCol w:w="1710"/>
      </w:tblGrid>
      <w:tr w:rsidR="007C5D38" w:rsidRPr="007E433C" w:rsidTr="70A16931">
        <w:trPr>
          <w:trHeight w:val="854"/>
          <w:tblHeader/>
        </w:trPr>
        <w:tc>
          <w:tcPr>
            <w:tcW w:w="959" w:type="dxa"/>
            <w:shd w:val="clear" w:color="auto" w:fill="F7CAAC" w:themeFill="accent2" w:themeFillTint="66"/>
            <w:vAlign w:val="center"/>
          </w:tcPr>
          <w:p w:rsidR="007C5D38" w:rsidRPr="007E433C" w:rsidRDefault="007C5D38" w:rsidP="00A01505">
            <w:pPr>
              <w:jc w:val="center"/>
              <w:rPr>
                <w:b/>
                <w:bCs/>
                <w:iCs/>
                <w:sz w:val="24"/>
              </w:rPr>
            </w:pPr>
            <w:r w:rsidRPr="007E433C">
              <w:rPr>
                <w:b/>
                <w:bCs/>
                <w:iCs/>
                <w:sz w:val="24"/>
              </w:rPr>
              <w:t>STT</w:t>
            </w:r>
          </w:p>
        </w:tc>
        <w:tc>
          <w:tcPr>
            <w:tcW w:w="1848" w:type="dxa"/>
            <w:shd w:val="clear" w:color="auto" w:fill="F7CAAC" w:themeFill="accent2" w:themeFillTint="66"/>
            <w:vAlign w:val="center"/>
          </w:tcPr>
          <w:p w:rsidR="007C5D38" w:rsidRPr="007E433C" w:rsidRDefault="007C5D38" w:rsidP="00A01505">
            <w:pPr>
              <w:jc w:val="center"/>
              <w:rPr>
                <w:b/>
                <w:bCs/>
                <w:iCs/>
                <w:sz w:val="24"/>
              </w:rPr>
            </w:pPr>
            <w:r w:rsidRPr="007E433C">
              <w:rPr>
                <w:b/>
                <w:bCs/>
                <w:iCs/>
                <w:sz w:val="24"/>
              </w:rPr>
              <w:t>Tên VB được rà soát</w:t>
            </w:r>
          </w:p>
        </w:tc>
        <w:tc>
          <w:tcPr>
            <w:tcW w:w="2121" w:type="dxa"/>
            <w:shd w:val="clear" w:color="auto" w:fill="F7CAAC" w:themeFill="accent2" w:themeFillTint="66"/>
            <w:vAlign w:val="center"/>
          </w:tcPr>
          <w:p w:rsidR="007C5D38" w:rsidRPr="007E433C" w:rsidRDefault="007C5D38" w:rsidP="00A01505">
            <w:pPr>
              <w:jc w:val="center"/>
              <w:rPr>
                <w:b/>
                <w:bCs/>
                <w:iCs/>
                <w:sz w:val="24"/>
              </w:rPr>
            </w:pPr>
            <w:r w:rsidRPr="007E433C">
              <w:rPr>
                <w:b/>
                <w:bCs/>
                <w:iCs/>
                <w:sz w:val="24"/>
              </w:rPr>
              <w:t>Căn cứ rà soát</w:t>
            </w:r>
          </w:p>
        </w:tc>
        <w:tc>
          <w:tcPr>
            <w:tcW w:w="4003" w:type="dxa"/>
            <w:shd w:val="clear" w:color="auto" w:fill="F7CAAC" w:themeFill="accent2" w:themeFillTint="66"/>
            <w:vAlign w:val="center"/>
          </w:tcPr>
          <w:p w:rsidR="007C5D38" w:rsidRPr="007E433C" w:rsidRDefault="007C5D38" w:rsidP="00A01505">
            <w:pPr>
              <w:jc w:val="center"/>
              <w:rPr>
                <w:b/>
                <w:bCs/>
                <w:sz w:val="24"/>
              </w:rPr>
            </w:pPr>
            <w:r w:rsidRPr="007E433C">
              <w:rPr>
                <w:b/>
                <w:bCs/>
                <w:sz w:val="24"/>
              </w:rPr>
              <w:t>Phân tích các nội dung</w:t>
            </w:r>
            <w:r w:rsidR="00846B3D" w:rsidRPr="007E433C">
              <w:rPr>
                <w:b/>
                <w:bCs/>
                <w:sz w:val="24"/>
              </w:rPr>
              <w:t>,</w:t>
            </w:r>
            <w:r w:rsidRPr="007E433C">
              <w:rPr>
                <w:b/>
                <w:bCs/>
                <w:sz w:val="24"/>
              </w:rPr>
              <w:t xml:space="preserve"> quy định cần xử lý của VB được rà soát</w:t>
            </w:r>
          </w:p>
        </w:tc>
        <w:tc>
          <w:tcPr>
            <w:tcW w:w="1417" w:type="dxa"/>
            <w:shd w:val="clear" w:color="auto" w:fill="F7CAAC" w:themeFill="accent2" w:themeFillTint="66"/>
            <w:vAlign w:val="center"/>
          </w:tcPr>
          <w:p w:rsidR="007C5D38" w:rsidRPr="007E433C" w:rsidRDefault="007C5D38" w:rsidP="00A01505">
            <w:pPr>
              <w:jc w:val="center"/>
              <w:rPr>
                <w:b/>
                <w:bCs/>
                <w:sz w:val="24"/>
              </w:rPr>
            </w:pPr>
            <w:r w:rsidRPr="007E433C">
              <w:rPr>
                <w:b/>
                <w:bCs/>
                <w:sz w:val="24"/>
              </w:rPr>
              <w:t>Hình thức xử lý VB được rà soát</w:t>
            </w:r>
          </w:p>
        </w:tc>
        <w:tc>
          <w:tcPr>
            <w:tcW w:w="1275" w:type="dxa"/>
            <w:shd w:val="clear" w:color="auto" w:fill="F7CAAC" w:themeFill="accent2" w:themeFillTint="66"/>
            <w:vAlign w:val="center"/>
          </w:tcPr>
          <w:p w:rsidR="007C5D38" w:rsidRPr="007E433C" w:rsidRDefault="007C5D38" w:rsidP="00A01505">
            <w:pPr>
              <w:jc w:val="center"/>
              <w:rPr>
                <w:b/>
                <w:bCs/>
                <w:iCs/>
                <w:sz w:val="24"/>
              </w:rPr>
            </w:pPr>
            <w:r w:rsidRPr="007E433C">
              <w:rPr>
                <w:b/>
                <w:bCs/>
                <w:iCs/>
                <w:sz w:val="24"/>
              </w:rPr>
              <w:t>Lộ trình</w:t>
            </w:r>
          </w:p>
          <w:p w:rsidR="007C5D38" w:rsidRPr="007E433C" w:rsidRDefault="007C5D38" w:rsidP="00A01505">
            <w:pPr>
              <w:jc w:val="center"/>
              <w:rPr>
                <w:b/>
                <w:bCs/>
                <w:iCs/>
                <w:sz w:val="24"/>
              </w:rPr>
            </w:pPr>
            <w:r w:rsidRPr="007E433C">
              <w:rPr>
                <w:b/>
                <w:bCs/>
                <w:iCs/>
                <w:sz w:val="24"/>
              </w:rPr>
              <w:t>xử lý</w:t>
            </w:r>
          </w:p>
        </w:tc>
        <w:tc>
          <w:tcPr>
            <w:tcW w:w="1904" w:type="dxa"/>
            <w:shd w:val="clear" w:color="auto" w:fill="F7CAAC" w:themeFill="accent2" w:themeFillTint="66"/>
            <w:vAlign w:val="center"/>
          </w:tcPr>
          <w:p w:rsidR="007C5D38" w:rsidRPr="007E433C" w:rsidRDefault="007C5D38" w:rsidP="00A01505">
            <w:pPr>
              <w:jc w:val="center"/>
              <w:rPr>
                <w:b/>
                <w:bCs/>
                <w:iCs/>
                <w:sz w:val="24"/>
              </w:rPr>
            </w:pPr>
            <w:r w:rsidRPr="007E433C">
              <w:rPr>
                <w:b/>
                <w:bCs/>
                <w:iCs/>
                <w:sz w:val="24"/>
              </w:rPr>
              <w:t>Tiêu chí rà soát</w:t>
            </w:r>
          </w:p>
        </w:tc>
        <w:tc>
          <w:tcPr>
            <w:tcW w:w="1710" w:type="dxa"/>
            <w:shd w:val="clear" w:color="auto" w:fill="F7CAAC" w:themeFill="accent2" w:themeFillTint="66"/>
            <w:vAlign w:val="center"/>
          </w:tcPr>
          <w:p w:rsidR="007C5D38" w:rsidRPr="007E433C" w:rsidRDefault="00D60FE8" w:rsidP="00A01505">
            <w:pPr>
              <w:jc w:val="center"/>
              <w:rPr>
                <w:b/>
                <w:bCs/>
                <w:iCs/>
                <w:sz w:val="24"/>
              </w:rPr>
            </w:pPr>
            <w:r w:rsidRPr="00ED0DF3">
              <w:rPr>
                <w:b/>
                <w:bCs/>
                <w:iCs/>
                <w:sz w:val="22"/>
                <w:szCs w:val="22"/>
              </w:rPr>
              <w:t>Ý kiến của Bộ K</w:t>
            </w:r>
            <w:r>
              <w:rPr>
                <w:b/>
                <w:bCs/>
                <w:iCs/>
                <w:sz w:val="22"/>
                <w:szCs w:val="22"/>
              </w:rPr>
              <w:t>H&amp;CN</w:t>
            </w:r>
          </w:p>
        </w:tc>
      </w:tr>
      <w:tr w:rsidR="007C5D38" w:rsidRPr="007E433C" w:rsidTr="70A16931">
        <w:trPr>
          <w:tblHeader/>
        </w:trPr>
        <w:tc>
          <w:tcPr>
            <w:tcW w:w="959" w:type="dxa"/>
            <w:shd w:val="clear" w:color="auto" w:fill="F7CAAC" w:themeFill="accent2" w:themeFillTint="66"/>
          </w:tcPr>
          <w:p w:rsidR="007C5D38" w:rsidRPr="007E433C" w:rsidRDefault="007C5D38" w:rsidP="00A01505">
            <w:pPr>
              <w:jc w:val="center"/>
              <w:rPr>
                <w:b/>
                <w:bCs/>
                <w:iCs/>
                <w:sz w:val="24"/>
              </w:rPr>
            </w:pPr>
            <w:r w:rsidRPr="007E433C">
              <w:rPr>
                <w:b/>
                <w:bCs/>
                <w:iCs/>
                <w:sz w:val="24"/>
              </w:rPr>
              <w:t>(1)</w:t>
            </w:r>
          </w:p>
        </w:tc>
        <w:tc>
          <w:tcPr>
            <w:tcW w:w="1848" w:type="dxa"/>
            <w:shd w:val="clear" w:color="auto" w:fill="F7CAAC" w:themeFill="accent2" w:themeFillTint="66"/>
          </w:tcPr>
          <w:p w:rsidR="007C5D38" w:rsidRPr="007E433C" w:rsidRDefault="007C5D38" w:rsidP="00A01505">
            <w:pPr>
              <w:jc w:val="center"/>
              <w:rPr>
                <w:b/>
                <w:bCs/>
                <w:iCs/>
                <w:sz w:val="24"/>
              </w:rPr>
            </w:pPr>
            <w:r w:rsidRPr="007E433C">
              <w:rPr>
                <w:b/>
                <w:bCs/>
                <w:iCs/>
                <w:sz w:val="24"/>
              </w:rPr>
              <w:t>(2)</w:t>
            </w:r>
          </w:p>
        </w:tc>
        <w:tc>
          <w:tcPr>
            <w:tcW w:w="2121" w:type="dxa"/>
            <w:shd w:val="clear" w:color="auto" w:fill="F7CAAC" w:themeFill="accent2" w:themeFillTint="66"/>
          </w:tcPr>
          <w:p w:rsidR="007C5D38" w:rsidRPr="007E433C" w:rsidRDefault="007C5D38" w:rsidP="00A01505">
            <w:pPr>
              <w:jc w:val="center"/>
              <w:rPr>
                <w:b/>
                <w:bCs/>
                <w:iCs/>
                <w:sz w:val="24"/>
              </w:rPr>
            </w:pPr>
            <w:r w:rsidRPr="007E433C">
              <w:rPr>
                <w:b/>
                <w:bCs/>
                <w:iCs/>
                <w:sz w:val="24"/>
              </w:rPr>
              <w:t>(3)</w:t>
            </w:r>
          </w:p>
        </w:tc>
        <w:tc>
          <w:tcPr>
            <w:tcW w:w="4003" w:type="dxa"/>
            <w:shd w:val="clear" w:color="auto" w:fill="F7CAAC" w:themeFill="accent2" w:themeFillTint="66"/>
          </w:tcPr>
          <w:p w:rsidR="007C5D38" w:rsidRPr="007E433C" w:rsidRDefault="007C5D38" w:rsidP="00A01505">
            <w:pPr>
              <w:jc w:val="center"/>
              <w:rPr>
                <w:b/>
                <w:bCs/>
                <w:iCs/>
                <w:sz w:val="24"/>
              </w:rPr>
            </w:pPr>
            <w:r w:rsidRPr="007E433C">
              <w:rPr>
                <w:b/>
                <w:bCs/>
                <w:iCs/>
                <w:sz w:val="24"/>
              </w:rPr>
              <w:t>(4)</w:t>
            </w:r>
          </w:p>
        </w:tc>
        <w:tc>
          <w:tcPr>
            <w:tcW w:w="1417" w:type="dxa"/>
            <w:shd w:val="clear" w:color="auto" w:fill="F7CAAC" w:themeFill="accent2" w:themeFillTint="66"/>
          </w:tcPr>
          <w:p w:rsidR="007C5D38" w:rsidRPr="007E433C" w:rsidRDefault="007C5D38" w:rsidP="00A01505">
            <w:pPr>
              <w:jc w:val="center"/>
              <w:rPr>
                <w:b/>
                <w:bCs/>
                <w:iCs/>
                <w:sz w:val="24"/>
              </w:rPr>
            </w:pPr>
            <w:r w:rsidRPr="007E433C">
              <w:rPr>
                <w:b/>
                <w:bCs/>
                <w:iCs/>
                <w:sz w:val="24"/>
              </w:rPr>
              <w:t>(5)</w:t>
            </w:r>
          </w:p>
        </w:tc>
        <w:tc>
          <w:tcPr>
            <w:tcW w:w="1275" w:type="dxa"/>
            <w:shd w:val="clear" w:color="auto" w:fill="F7CAAC" w:themeFill="accent2" w:themeFillTint="66"/>
          </w:tcPr>
          <w:p w:rsidR="007C5D38" w:rsidRPr="007E433C" w:rsidRDefault="007C5D38" w:rsidP="00A01505">
            <w:pPr>
              <w:jc w:val="center"/>
              <w:rPr>
                <w:b/>
                <w:bCs/>
                <w:iCs/>
                <w:sz w:val="24"/>
              </w:rPr>
            </w:pPr>
            <w:r w:rsidRPr="007E433C">
              <w:rPr>
                <w:b/>
                <w:bCs/>
                <w:iCs/>
                <w:sz w:val="24"/>
              </w:rPr>
              <w:t>(6)</w:t>
            </w:r>
          </w:p>
        </w:tc>
        <w:tc>
          <w:tcPr>
            <w:tcW w:w="1904" w:type="dxa"/>
            <w:shd w:val="clear" w:color="auto" w:fill="F7CAAC" w:themeFill="accent2" w:themeFillTint="66"/>
          </w:tcPr>
          <w:p w:rsidR="007C5D38" w:rsidRPr="007E433C" w:rsidRDefault="007C5D38" w:rsidP="00A01505">
            <w:pPr>
              <w:jc w:val="center"/>
              <w:rPr>
                <w:b/>
                <w:bCs/>
                <w:iCs/>
                <w:sz w:val="24"/>
              </w:rPr>
            </w:pPr>
            <w:r w:rsidRPr="007E433C">
              <w:rPr>
                <w:b/>
                <w:bCs/>
                <w:iCs/>
                <w:sz w:val="24"/>
              </w:rPr>
              <w:t>(7)</w:t>
            </w:r>
          </w:p>
        </w:tc>
        <w:tc>
          <w:tcPr>
            <w:tcW w:w="1710" w:type="dxa"/>
            <w:shd w:val="clear" w:color="auto" w:fill="F7CAAC" w:themeFill="accent2" w:themeFillTint="66"/>
          </w:tcPr>
          <w:p w:rsidR="007C5D38" w:rsidRPr="007E433C" w:rsidRDefault="007C5D38" w:rsidP="00A01505">
            <w:pPr>
              <w:jc w:val="center"/>
              <w:rPr>
                <w:b/>
                <w:bCs/>
                <w:iCs/>
                <w:sz w:val="24"/>
              </w:rPr>
            </w:pPr>
            <w:r w:rsidRPr="007E433C">
              <w:rPr>
                <w:b/>
                <w:bCs/>
                <w:iCs/>
                <w:sz w:val="24"/>
              </w:rPr>
              <w:t>(</w:t>
            </w:r>
            <w:r w:rsidR="006D2775" w:rsidRPr="007E433C">
              <w:rPr>
                <w:b/>
                <w:bCs/>
                <w:iCs/>
                <w:sz w:val="24"/>
              </w:rPr>
              <w:t>8</w:t>
            </w:r>
            <w:r w:rsidRPr="007E433C">
              <w:rPr>
                <w:b/>
                <w:bCs/>
                <w:iCs/>
                <w:sz w:val="24"/>
              </w:rPr>
              <w:t>)</w:t>
            </w:r>
          </w:p>
        </w:tc>
      </w:tr>
      <w:tr w:rsidR="0001642E">
        <w:trPr>
          <w:trHeight w:val="315"/>
        </w:trPr>
        <w:tc>
          <w:tcPr>
            <w:tcW w:w="15237" w:type="dxa"/>
            <w:gridSpan w:val="8"/>
            <w:vAlign w:val="center"/>
          </w:tcPr>
          <w:p w:rsidR="0001642E" w:rsidRDefault="003D1310">
            <w:pPr>
              <w:ind w:left="1080"/>
              <w:jc w:val="center"/>
              <w:rPr>
                <w:b/>
                <w:sz w:val="26"/>
                <w:szCs w:val="26"/>
              </w:rPr>
            </w:pPr>
            <w:r>
              <w:rPr>
                <w:b/>
                <w:sz w:val="26"/>
                <w:szCs w:val="26"/>
              </w:rPr>
              <w:t>I. KHOA HỌC VÀ CÔNG NGHỆ</w:t>
            </w:r>
          </w:p>
        </w:tc>
      </w:tr>
      <w:tr w:rsidR="0001642E">
        <w:tc>
          <w:tcPr>
            <w:tcW w:w="959" w:type="dxa"/>
            <w:vAlign w:val="center"/>
          </w:tcPr>
          <w:p w:rsidR="0001642E" w:rsidRDefault="003D1310">
            <w:pPr>
              <w:jc w:val="center"/>
              <w:rPr>
                <w:bCs/>
                <w:iCs/>
                <w:sz w:val="26"/>
                <w:szCs w:val="26"/>
              </w:rPr>
            </w:pPr>
            <w:r>
              <w:rPr>
                <w:bCs/>
                <w:iCs/>
                <w:sz w:val="26"/>
                <w:szCs w:val="26"/>
              </w:rPr>
              <w:t>1.</w:t>
            </w:r>
          </w:p>
        </w:tc>
        <w:tc>
          <w:tcPr>
            <w:tcW w:w="1848" w:type="dxa"/>
            <w:vAlign w:val="center"/>
          </w:tcPr>
          <w:p w:rsidR="0001642E" w:rsidRDefault="003D1310">
            <w:pPr>
              <w:jc w:val="both"/>
              <w:rPr>
                <w:bCs/>
                <w:iCs/>
                <w:sz w:val="26"/>
                <w:szCs w:val="26"/>
              </w:rPr>
            </w:pPr>
            <w:r>
              <w:rPr>
                <w:bCs/>
                <w:iCs/>
                <w:sz w:val="26"/>
                <w:szCs w:val="26"/>
              </w:rPr>
              <w:t xml:space="preserve">Nghị quyết số 161/2019/NQ-HĐND ngày 12/07/2019 của HĐND tỉnh Đồng Nai Quy định nội dung </w:t>
            </w:r>
            <w:r>
              <w:rPr>
                <w:bCs/>
                <w:iCs/>
                <w:sz w:val="26"/>
                <w:szCs w:val="26"/>
              </w:rPr>
              <w:lastRenderedPageBreak/>
              <w:t>chi, mức chi cho hoạt động sáng kiến, sáng tạo trên địa bàn tỉnh Đồng Nai</w:t>
            </w:r>
          </w:p>
        </w:tc>
        <w:tc>
          <w:tcPr>
            <w:tcW w:w="2121" w:type="dxa"/>
            <w:vAlign w:val="center"/>
          </w:tcPr>
          <w:p w:rsidR="0001642E" w:rsidRDefault="003D1310">
            <w:pPr>
              <w:jc w:val="both"/>
              <w:rPr>
                <w:bCs/>
                <w:iCs/>
                <w:sz w:val="26"/>
                <w:szCs w:val="26"/>
              </w:rPr>
            </w:pPr>
            <w:r>
              <w:rPr>
                <w:bCs/>
                <w:iCs/>
                <w:sz w:val="26"/>
                <w:szCs w:val="26"/>
              </w:rPr>
              <w:lastRenderedPageBreak/>
              <w:t xml:space="preserve">Một số văn bản là căn cứ pháp lý ban hành Quyết định đã hết hiệu lực như: Luật tổ chức chính quyền địa phương ngày 19 </w:t>
            </w:r>
            <w:r>
              <w:rPr>
                <w:bCs/>
                <w:iCs/>
                <w:sz w:val="26"/>
                <w:szCs w:val="26"/>
              </w:rPr>
              <w:lastRenderedPageBreak/>
              <w:t xml:space="preserve">tháng 6 năm 2015; Luật ban hành văn bản quy phạm pháp luật ngày 22 tháng 6 năm 2015; Nghị quyết số 90/2017/NQ-HĐND ngày 08/12/2017 của Hội đồng nhân dân tỉnh quy định mức chi chế độ công tác phí, chế độ chi hội nghị trên địa bàn tỉnh Đồng Nai. </w:t>
            </w:r>
            <w:r>
              <w:rPr>
                <w:bCs/>
                <w:iCs/>
                <w:sz w:val="26"/>
                <w:szCs w:val="26"/>
              </w:rPr>
              <w:br/>
              <w:t>Phạm vi và đối tượng điều chỉnh không còn phù hợp để áp dụng khi sắp xếp chính quyền địa phương 02 cấp;</w:t>
            </w:r>
          </w:p>
        </w:tc>
        <w:tc>
          <w:tcPr>
            <w:tcW w:w="4003" w:type="dxa"/>
            <w:vAlign w:val="center"/>
          </w:tcPr>
          <w:p w:rsidR="0001642E" w:rsidRDefault="003D1310">
            <w:pPr>
              <w:jc w:val="both"/>
              <w:rPr>
                <w:bCs/>
                <w:iCs/>
                <w:sz w:val="26"/>
                <w:szCs w:val="26"/>
              </w:rPr>
            </w:pPr>
            <w:r>
              <w:rPr>
                <w:bCs/>
                <w:iCs/>
                <w:sz w:val="26"/>
                <w:szCs w:val="26"/>
              </w:rPr>
              <w:lastRenderedPageBreak/>
              <w:t>Việc xây dựng Quyết định là cần thiết phù hợp với thẩm quyền của UBND thành  phố Luật Ban hành văn bản quy phạm pháp luật số 64/2025/QH15 được sửa đổi, bổ sung bởi Luật số 87/2025/QH15 và để phù hợp với:</w:t>
            </w:r>
            <w:r>
              <w:rPr>
                <w:bCs/>
                <w:iCs/>
                <w:sz w:val="26"/>
                <w:szCs w:val="26"/>
              </w:rPr>
              <w:br/>
            </w:r>
            <w:r>
              <w:rPr>
                <w:bCs/>
                <w:iCs/>
                <w:sz w:val="26"/>
                <w:szCs w:val="26"/>
              </w:rPr>
              <w:lastRenderedPageBreak/>
              <w:t xml:space="preserve"> Luật Tổ chức chính quyền địa phương ngày 16 tháng 6 năm 2025; Luật Ban hành văn bản quy phạm pháp luật ngày 19 tháng 02 năm 2025; Luật sửa đổi, bổ sung một số điều của Luật Ban hành văn bản quy phạm pháp luật ngày 25 tháng 6 năm 2025; Nghị quyết số 04/2025/NQ-HĐND ngày 03/10/2025 của HĐND thành phố Đồng Nai quy định mức chi chế độ công tác phí, chế độ chi Hội nghị trên địa bàn tỉnh Đồng Nai.</w:t>
            </w:r>
            <w:r>
              <w:rPr>
                <w:bCs/>
                <w:iCs/>
                <w:sz w:val="26"/>
                <w:szCs w:val="26"/>
              </w:rPr>
              <w:br/>
              <w:t>Do sắp xếp  chính quyền địa phương 02 cấp không còn phù hợp, do đó đề xuất thay thế.</w:t>
            </w:r>
            <w:r>
              <w:rPr>
                <w:bCs/>
                <w:iCs/>
                <w:sz w:val="26"/>
                <w:szCs w:val="26"/>
              </w:rPr>
              <w:br/>
              <w:t xml:space="preserve"> Nội dung chi cho Hội đồng xét, công nhận hiệu quả áp dụng, khả năng nhân rộng của sáng kiến; công nhận hiệu quả áp dụng, phạm vi ảnh hưởng của đề tài khoa học, đề án khoa học, công trình khoa học và công nghệ trên địa bàn thành phố Đồng Nai chưa được quy định trong Nghị quyết. Sau khi sáp nhập tỉnh, thực hiện mô hình chính quyền địa phương 2 cấp, tính đến thời điểm hiện tại thì TP Đồng Nai đã tổ chức 37 Hội đồng xét với hơn 783 số sáng kiến, đề tài được công nhận. Hiện nay Đồng Nai phải vận dụng nội dung chi khác để chi cho Hội đồng và đối với các mức chi hiện tại </w:t>
            </w:r>
            <w:r>
              <w:rPr>
                <w:bCs/>
                <w:iCs/>
                <w:sz w:val="26"/>
                <w:szCs w:val="26"/>
              </w:rPr>
              <w:lastRenderedPageBreak/>
              <w:t>không còn phù hợp với tình hình hiện nay.</w:t>
            </w:r>
          </w:p>
        </w:tc>
        <w:tc>
          <w:tcPr>
            <w:tcW w:w="1417" w:type="dxa"/>
            <w:vAlign w:val="center"/>
          </w:tcPr>
          <w:p w:rsidR="0001642E" w:rsidRDefault="003D1310">
            <w:pPr>
              <w:jc w:val="both"/>
              <w:rPr>
                <w:bCs/>
                <w:iCs/>
                <w:sz w:val="26"/>
                <w:szCs w:val="26"/>
              </w:rPr>
            </w:pPr>
            <w:r>
              <w:rPr>
                <w:bCs/>
                <w:iCs/>
                <w:sz w:val="26"/>
                <w:szCs w:val="26"/>
              </w:rPr>
              <w:lastRenderedPageBreak/>
              <w:t>Thay thế</w:t>
            </w:r>
          </w:p>
        </w:tc>
        <w:tc>
          <w:tcPr>
            <w:tcW w:w="1275" w:type="dxa"/>
            <w:vAlign w:val="center"/>
          </w:tcPr>
          <w:p w:rsidR="0001642E" w:rsidRDefault="003D1310">
            <w:pPr>
              <w:jc w:val="both"/>
              <w:rPr>
                <w:bCs/>
                <w:iCs/>
                <w:sz w:val="26"/>
                <w:szCs w:val="26"/>
              </w:rPr>
            </w:pPr>
            <w:r>
              <w:rPr>
                <w:bCs/>
                <w:iCs/>
                <w:sz w:val="26"/>
                <w:szCs w:val="26"/>
              </w:rPr>
              <w:t>Tháng 02/2027</w:t>
            </w:r>
          </w:p>
        </w:tc>
        <w:tc>
          <w:tcPr>
            <w:tcW w:w="1904" w:type="dxa"/>
            <w:vAlign w:val="center"/>
          </w:tcPr>
          <w:p w:rsidR="0001642E" w:rsidRDefault="003D1310">
            <w:pPr>
              <w:jc w:val="both"/>
              <w:rPr>
                <w:bCs/>
                <w:iCs/>
                <w:sz w:val="26"/>
                <w:szCs w:val="26"/>
              </w:rPr>
            </w:pPr>
            <w:r>
              <w:rPr>
                <w:bCs/>
                <w:iCs/>
                <w:sz w:val="26"/>
                <w:szCs w:val="26"/>
              </w:rPr>
              <w:t xml:space="preserve">Tiêu chí 1.2 - Tiêu chí về khoa học, công nghệ </w:t>
            </w:r>
          </w:p>
        </w:tc>
        <w:tc>
          <w:tcPr>
            <w:tcW w:w="1710" w:type="dxa"/>
            <w:vAlign w:val="center"/>
          </w:tcPr>
          <w:p w:rsidR="0001642E" w:rsidRDefault="00D60FE8">
            <w:pPr>
              <w:jc w:val="both"/>
              <w:rPr>
                <w:bCs/>
                <w:iCs/>
                <w:sz w:val="26"/>
                <w:szCs w:val="26"/>
              </w:rPr>
            </w:pPr>
            <w:r>
              <w:rPr>
                <w:bCs/>
                <w:iCs/>
                <w:sz w:val="26"/>
                <w:szCs w:val="26"/>
              </w:rPr>
              <w:t>Nhất trí</w:t>
            </w:r>
          </w:p>
        </w:tc>
      </w:tr>
      <w:tr w:rsidR="00F50200">
        <w:tc>
          <w:tcPr>
            <w:tcW w:w="959" w:type="dxa"/>
            <w:vAlign w:val="center"/>
          </w:tcPr>
          <w:p w:rsidR="00F50200" w:rsidRDefault="00F50200" w:rsidP="00F50200">
            <w:pPr>
              <w:jc w:val="center"/>
              <w:rPr>
                <w:bCs/>
                <w:iCs/>
                <w:sz w:val="26"/>
                <w:szCs w:val="26"/>
              </w:rPr>
            </w:pPr>
            <w:r>
              <w:rPr>
                <w:bCs/>
                <w:iCs/>
                <w:sz w:val="26"/>
                <w:szCs w:val="26"/>
              </w:rPr>
              <w:lastRenderedPageBreak/>
              <w:t>2.</w:t>
            </w:r>
          </w:p>
        </w:tc>
        <w:tc>
          <w:tcPr>
            <w:tcW w:w="1848" w:type="dxa"/>
            <w:vAlign w:val="center"/>
          </w:tcPr>
          <w:p w:rsidR="00F50200" w:rsidRDefault="00F50200" w:rsidP="00F50200">
            <w:pPr>
              <w:jc w:val="both"/>
              <w:rPr>
                <w:bCs/>
                <w:iCs/>
                <w:sz w:val="26"/>
                <w:szCs w:val="26"/>
              </w:rPr>
            </w:pPr>
            <w:r>
              <w:rPr>
                <w:bCs/>
                <w:iCs/>
                <w:sz w:val="26"/>
                <w:szCs w:val="26"/>
              </w:rPr>
              <w:t>Nghị quyết số 28/2020/NQ-HĐND ngày 04/12/2020 của HĐND tỉnh Đồng Nai Quy định mức chi xây dựng tiêu chuẩn và quy chuẩn kỹ thuật trên địa bàn tỉnh Đồng Nai</w:t>
            </w:r>
          </w:p>
        </w:tc>
        <w:tc>
          <w:tcPr>
            <w:tcW w:w="2121" w:type="dxa"/>
            <w:vAlign w:val="center"/>
          </w:tcPr>
          <w:p w:rsidR="00F50200" w:rsidRDefault="00F50200" w:rsidP="00F50200">
            <w:pPr>
              <w:jc w:val="both"/>
              <w:rPr>
                <w:bCs/>
                <w:iCs/>
                <w:sz w:val="26"/>
                <w:szCs w:val="26"/>
              </w:rPr>
            </w:pPr>
            <w:r>
              <w:rPr>
                <w:bCs/>
                <w:iCs/>
                <w:sz w:val="26"/>
                <w:szCs w:val="26"/>
              </w:rPr>
              <w:t>tại khoản 1 điều 2 thông tư 23/2026/TT_BKHCN quy định đối tượng áp dụng: "các Bộ, cơ quan ngang Bộ, cơ quan thuộc Chính phủ (sau đây gọi tắt là bộ và cơ quan trung ương), Ủy ban nhân dân các tỉnh, thành phố (sau đây gọi tắt là Ủy ban nhân dân cấp tỉnh)."</w:t>
            </w:r>
          </w:p>
        </w:tc>
        <w:tc>
          <w:tcPr>
            <w:tcW w:w="4003" w:type="dxa"/>
            <w:vAlign w:val="center"/>
          </w:tcPr>
          <w:p w:rsidR="00F50200" w:rsidRDefault="00F50200" w:rsidP="00F50200">
            <w:pPr>
              <w:jc w:val="both"/>
              <w:rPr>
                <w:bCs/>
                <w:iCs/>
                <w:sz w:val="26"/>
                <w:szCs w:val="26"/>
              </w:rPr>
            </w:pPr>
            <w:r>
              <w:rPr>
                <w:bCs/>
                <w:iCs/>
                <w:sz w:val="26"/>
                <w:szCs w:val="26"/>
              </w:rPr>
              <w:t xml:space="preserve">Căn cứ  Luật Ngân sách nhà nước số 89/2025/QH15; Luật Khoa học, công nghệ và đổi mới sáng tạo số 93/2025/QH15; Điều 6 Nghị định số 22/2026/NĐ-CP ngày 16 tháng 01 năm 2026 của Chính phủ quy định chi tiết một số điều và biện pháp để tổ chức, hướng dẫn thi hành Luật Tiêu chuẩn và quy  chuẩn kỹ thuật;  Bộ Khoa học và Công nghệ ban hành Thông tư số 23/2026/TT-BKHCN ngày 28/5/2026  Quy định lập dự toán, quản lý, sử dụng và quyết toán kinh phí ngân sách nhà nước lĩnh vực khoa học, công nghệ, đổi mới sáng tạo và chuyển đổi số cho hoạt động tiêu chuẩn, hoạt động quy chuẩn kỹ thuật. </w:t>
            </w:r>
            <w:r>
              <w:rPr>
                <w:bCs/>
                <w:iCs/>
                <w:sz w:val="26"/>
                <w:szCs w:val="26"/>
              </w:rPr>
              <w:br/>
              <w:t>Theo đó mức chi xây dựng tiêu chuẩn và quy chuẩn kỹ thuật đã được quy định rất cụ thể trong Thông tư 23/2026/TT-BKHCN. Việc thay thay thế Nghị quyết cũ là phù hợp.</w:t>
            </w:r>
            <w:r>
              <w:rPr>
                <w:bCs/>
                <w:iCs/>
                <w:sz w:val="26"/>
                <w:szCs w:val="26"/>
              </w:rPr>
              <w:br/>
              <w:t>Do sắp xếp  chính quyền địa phương 02 cấp không còn phù hợp, do đó đề xuất thay thế.</w:t>
            </w:r>
          </w:p>
        </w:tc>
        <w:tc>
          <w:tcPr>
            <w:tcW w:w="1417" w:type="dxa"/>
            <w:vAlign w:val="center"/>
          </w:tcPr>
          <w:p w:rsidR="00F50200" w:rsidRDefault="00F50200" w:rsidP="00F50200">
            <w:pPr>
              <w:jc w:val="both"/>
              <w:rPr>
                <w:bCs/>
                <w:iCs/>
                <w:sz w:val="26"/>
                <w:szCs w:val="26"/>
              </w:rPr>
            </w:pPr>
            <w:r>
              <w:rPr>
                <w:bCs/>
                <w:iCs/>
                <w:sz w:val="26"/>
                <w:szCs w:val="26"/>
              </w:rPr>
              <w:t>Thay thế</w:t>
            </w:r>
          </w:p>
        </w:tc>
        <w:tc>
          <w:tcPr>
            <w:tcW w:w="1275" w:type="dxa"/>
            <w:vAlign w:val="center"/>
          </w:tcPr>
          <w:p w:rsidR="00F50200" w:rsidRDefault="00F50200" w:rsidP="00F50200">
            <w:pPr>
              <w:jc w:val="both"/>
              <w:rPr>
                <w:bCs/>
                <w:iCs/>
                <w:sz w:val="26"/>
                <w:szCs w:val="26"/>
              </w:rPr>
            </w:pPr>
            <w:r>
              <w:rPr>
                <w:bCs/>
                <w:iCs/>
                <w:sz w:val="26"/>
                <w:szCs w:val="26"/>
              </w:rPr>
              <w:t>Tháng 12/2026</w:t>
            </w:r>
          </w:p>
        </w:tc>
        <w:tc>
          <w:tcPr>
            <w:tcW w:w="1904" w:type="dxa"/>
            <w:vAlign w:val="center"/>
          </w:tcPr>
          <w:p w:rsidR="00F50200" w:rsidRDefault="00F50200" w:rsidP="00F50200">
            <w:pPr>
              <w:jc w:val="both"/>
              <w:rPr>
                <w:bCs/>
                <w:iCs/>
                <w:sz w:val="26"/>
                <w:szCs w:val="26"/>
              </w:rPr>
            </w:pPr>
            <w:r>
              <w:rPr>
                <w:bCs/>
                <w:iCs/>
                <w:sz w:val="26"/>
                <w:szCs w:val="26"/>
              </w:rPr>
              <w:t xml:space="preserve">Tiêu chí 1.2 - Tiêu chí về khoa học, công nghệ </w:t>
            </w:r>
          </w:p>
        </w:tc>
        <w:tc>
          <w:tcPr>
            <w:tcW w:w="1710" w:type="dxa"/>
            <w:vAlign w:val="center"/>
          </w:tcPr>
          <w:p w:rsidR="00EF5E47" w:rsidRDefault="00EF5E47" w:rsidP="00F50200">
            <w:pPr>
              <w:jc w:val="both"/>
              <w:rPr>
                <w:sz w:val="24"/>
              </w:rPr>
            </w:pPr>
            <w:r>
              <w:rPr>
                <w:sz w:val="24"/>
              </w:rPr>
              <w:t>Bổ sung mới</w:t>
            </w:r>
          </w:p>
          <w:p w:rsidR="00F50200" w:rsidRDefault="00F50200" w:rsidP="00F50200">
            <w:pPr>
              <w:jc w:val="both"/>
              <w:rPr>
                <w:bCs/>
                <w:iCs/>
                <w:sz w:val="26"/>
                <w:szCs w:val="26"/>
              </w:rPr>
            </w:pPr>
            <w:r w:rsidRPr="00ED0DF3">
              <w:rPr>
                <w:sz w:val="24"/>
              </w:rPr>
              <w:t>Cần làm rõ, hoàn thiện thêm: Đề nghị làm rõ điều, khoản có vướng mắc, bất cập, không còn phù hợp và chủ trương cụ thể cần tiếp tục thể chế hóa</w:t>
            </w:r>
          </w:p>
        </w:tc>
      </w:tr>
      <w:tr w:rsidR="00F50200">
        <w:tc>
          <w:tcPr>
            <w:tcW w:w="959" w:type="dxa"/>
            <w:vAlign w:val="center"/>
          </w:tcPr>
          <w:p w:rsidR="00F50200" w:rsidRDefault="00F50200" w:rsidP="00F50200">
            <w:pPr>
              <w:jc w:val="center"/>
              <w:rPr>
                <w:bCs/>
                <w:iCs/>
                <w:sz w:val="26"/>
                <w:szCs w:val="26"/>
              </w:rPr>
            </w:pPr>
            <w:r>
              <w:rPr>
                <w:bCs/>
                <w:iCs/>
                <w:sz w:val="26"/>
                <w:szCs w:val="26"/>
              </w:rPr>
              <w:t>3.</w:t>
            </w:r>
          </w:p>
        </w:tc>
        <w:tc>
          <w:tcPr>
            <w:tcW w:w="1848" w:type="dxa"/>
            <w:vAlign w:val="center"/>
          </w:tcPr>
          <w:p w:rsidR="00F50200" w:rsidRDefault="00F50200" w:rsidP="00F50200">
            <w:pPr>
              <w:jc w:val="both"/>
              <w:rPr>
                <w:bCs/>
                <w:iCs/>
                <w:sz w:val="26"/>
                <w:szCs w:val="26"/>
              </w:rPr>
            </w:pPr>
            <w:r>
              <w:rPr>
                <w:bCs/>
                <w:iCs/>
                <w:sz w:val="26"/>
                <w:szCs w:val="26"/>
              </w:rPr>
              <w:t xml:space="preserve">Nghị quyết số 29/2020/NQ-HĐND ngày 04/12/2020 của </w:t>
            </w:r>
            <w:r>
              <w:rPr>
                <w:bCs/>
                <w:iCs/>
                <w:sz w:val="26"/>
                <w:szCs w:val="26"/>
              </w:rPr>
              <w:lastRenderedPageBreak/>
              <w:t>HĐND tỉnh Đồng Nai Ban hành Quy định nội dung chi, mức chi thực hiện Đề án “Hỗ trợ hệ sinh thái khởi nghiệp đổi mới sáng tạo quốc gia đến năm 2025” trên địa bàn tỉnh Đồng Nai</w:t>
            </w:r>
          </w:p>
        </w:tc>
        <w:tc>
          <w:tcPr>
            <w:tcW w:w="2121" w:type="dxa"/>
            <w:vAlign w:val="center"/>
          </w:tcPr>
          <w:p w:rsidR="00F50200" w:rsidRDefault="00F50200" w:rsidP="00F50200">
            <w:pPr>
              <w:jc w:val="both"/>
              <w:rPr>
                <w:bCs/>
                <w:iCs/>
                <w:sz w:val="26"/>
                <w:szCs w:val="26"/>
              </w:rPr>
            </w:pPr>
            <w:r>
              <w:rPr>
                <w:bCs/>
                <w:iCs/>
                <w:sz w:val="26"/>
                <w:szCs w:val="26"/>
              </w:rPr>
              <w:lastRenderedPageBreak/>
              <w:t xml:space="preserve">khoản 3 Điều 3 Thông tư số 39/2025/TT-BKHCN ngày </w:t>
            </w:r>
            <w:r>
              <w:rPr>
                <w:bCs/>
                <w:iCs/>
                <w:sz w:val="26"/>
                <w:szCs w:val="26"/>
              </w:rPr>
              <w:lastRenderedPageBreak/>
              <w:t>30/11/2025 của Bộ trưởng Bộ Khoa học và Công nghệ quy định chi tiết và hướng dẫn về lập dự toán, quản lý, sử dụng và quyết toán một số nội dung chi ngân sách nhà nước thực hiện nhiệm vụ khoa học, công nghệ và đổi mới sáng tạo</w:t>
            </w:r>
          </w:p>
        </w:tc>
        <w:tc>
          <w:tcPr>
            <w:tcW w:w="4003" w:type="dxa"/>
            <w:vAlign w:val="center"/>
          </w:tcPr>
          <w:p w:rsidR="00F50200" w:rsidRDefault="00F50200" w:rsidP="00F50200">
            <w:pPr>
              <w:jc w:val="both"/>
              <w:rPr>
                <w:bCs/>
                <w:iCs/>
                <w:sz w:val="26"/>
                <w:szCs w:val="26"/>
              </w:rPr>
            </w:pPr>
            <w:r>
              <w:rPr>
                <w:bCs/>
                <w:iCs/>
                <w:sz w:val="26"/>
                <w:szCs w:val="26"/>
              </w:rPr>
              <w:lastRenderedPageBreak/>
              <w:t xml:space="preserve">Ngày 14/10/2025, Chính phủ ban hành Nghị định số 268/2025/NĐ-CP quy định chi tiết và hướng dẫn một số điều của Luật Khoa học, công </w:t>
            </w:r>
            <w:r>
              <w:rPr>
                <w:bCs/>
                <w:iCs/>
                <w:sz w:val="26"/>
                <w:szCs w:val="26"/>
              </w:rPr>
              <w:lastRenderedPageBreak/>
              <w:t>nghệ và đổi mới sáng tạo về đổi mới sáng tạo; khuyến khích hoạt động khoa học, công nghệ và đổi mới sáng tạo trong doanh nghiệp; công nhận trung tâm đổi</w:t>
            </w:r>
            <w:r>
              <w:rPr>
                <w:bCs/>
                <w:iCs/>
                <w:sz w:val="26"/>
                <w:szCs w:val="26"/>
              </w:rPr>
              <w:br/>
              <w:t>mới sáng tạo, hỗ trợ khởi nghiệp sáng tạo; công nhận cá nhân, doanh nghiệp khởi nghiệp sáng tạo; hạ tầng, mạng lưới và hệ sinh thái khởi nghiệp sáng tạo. Ngày 30/11/2025, Bộ trưởng Bộ Khoa học và Công nghệ ban hành Thông tư số 39/2025/TT-BKHCN quy định chi tiết và hướng dẫn về lập dự toán, quản lý, sử dụng và quyết toán một số nội dung chi ngân sách nhà nước thực hiện nhiệm vụ khoa học, công nghệ và đổi mới sáng tạo có hiệu lực thi hành ngày 01/01/2026. Tại Điều 39 quy định Khung định mức làm căn cứ xây dựng dự toán ngân sách nhà nước hỗ trợ hoạt động phát triển hệ thống đổi mới sáng tạo, hệ sinh thái khởi nghiệp sáng tạo, thúc đẩy văn hóa đổi mới sáng tạo, khởi nghiệp sáng tạo. Theo đó, các căn cứ pháp lý làm cơ sở xây dựng Nghị quyết số 29/2020/NQ-HĐND không còn hiệu lực thi hành.</w:t>
            </w:r>
            <w:r>
              <w:rPr>
                <w:bCs/>
                <w:iCs/>
                <w:sz w:val="26"/>
                <w:szCs w:val="26"/>
              </w:rPr>
              <w:br/>
              <w:t>Do sắp xếp  chính quyền địa phương 02 cấp không còn phù hợp, do đó đề xuất thay thế.</w:t>
            </w:r>
          </w:p>
        </w:tc>
        <w:tc>
          <w:tcPr>
            <w:tcW w:w="1417" w:type="dxa"/>
            <w:vAlign w:val="center"/>
          </w:tcPr>
          <w:p w:rsidR="00F50200" w:rsidRDefault="00F50200" w:rsidP="00F50200">
            <w:pPr>
              <w:jc w:val="both"/>
              <w:rPr>
                <w:bCs/>
                <w:iCs/>
                <w:sz w:val="26"/>
                <w:szCs w:val="26"/>
              </w:rPr>
            </w:pPr>
            <w:r>
              <w:rPr>
                <w:bCs/>
                <w:iCs/>
                <w:sz w:val="26"/>
                <w:szCs w:val="26"/>
              </w:rPr>
              <w:lastRenderedPageBreak/>
              <w:t>Thay thế</w:t>
            </w:r>
          </w:p>
        </w:tc>
        <w:tc>
          <w:tcPr>
            <w:tcW w:w="1275" w:type="dxa"/>
            <w:vAlign w:val="center"/>
          </w:tcPr>
          <w:p w:rsidR="00F50200" w:rsidRDefault="00F50200" w:rsidP="00F50200">
            <w:pPr>
              <w:jc w:val="both"/>
              <w:rPr>
                <w:bCs/>
                <w:iCs/>
                <w:sz w:val="26"/>
                <w:szCs w:val="26"/>
              </w:rPr>
            </w:pPr>
            <w:r>
              <w:rPr>
                <w:bCs/>
                <w:iCs/>
                <w:sz w:val="26"/>
                <w:szCs w:val="26"/>
              </w:rPr>
              <w:t>Tháng 7/2026</w:t>
            </w:r>
          </w:p>
        </w:tc>
        <w:tc>
          <w:tcPr>
            <w:tcW w:w="1904" w:type="dxa"/>
            <w:vAlign w:val="center"/>
          </w:tcPr>
          <w:p w:rsidR="00F50200" w:rsidRDefault="00F50200" w:rsidP="00F50200">
            <w:pPr>
              <w:jc w:val="both"/>
              <w:rPr>
                <w:bCs/>
                <w:iCs/>
                <w:sz w:val="26"/>
                <w:szCs w:val="26"/>
              </w:rPr>
            </w:pPr>
            <w:r>
              <w:rPr>
                <w:bCs/>
                <w:iCs/>
                <w:sz w:val="26"/>
                <w:szCs w:val="26"/>
              </w:rPr>
              <w:t xml:space="preserve">Tiêu chí 1.2 - Tiêu chí về khoa học, công nghệ </w:t>
            </w:r>
          </w:p>
        </w:tc>
        <w:tc>
          <w:tcPr>
            <w:tcW w:w="1710" w:type="dxa"/>
            <w:vAlign w:val="center"/>
          </w:tcPr>
          <w:p w:rsidR="00EF5E47" w:rsidRDefault="00EF5E47" w:rsidP="00EF5E47">
            <w:pPr>
              <w:jc w:val="both"/>
              <w:rPr>
                <w:sz w:val="24"/>
              </w:rPr>
            </w:pPr>
            <w:r>
              <w:rPr>
                <w:sz w:val="24"/>
              </w:rPr>
              <w:t>Bổ sung mới</w:t>
            </w:r>
          </w:p>
          <w:p w:rsidR="00F50200" w:rsidRDefault="00F50200" w:rsidP="00F50200">
            <w:pPr>
              <w:jc w:val="both"/>
              <w:rPr>
                <w:bCs/>
                <w:iCs/>
                <w:sz w:val="26"/>
                <w:szCs w:val="26"/>
              </w:rPr>
            </w:pPr>
            <w:r w:rsidRPr="00ED0DF3">
              <w:rPr>
                <w:sz w:val="24"/>
              </w:rPr>
              <w:t xml:space="preserve">Cần làm rõ, hoàn thiện thêm: Đề nghị làm rõ điều, </w:t>
            </w:r>
            <w:r w:rsidRPr="00ED0DF3">
              <w:rPr>
                <w:sz w:val="24"/>
              </w:rPr>
              <w:lastRenderedPageBreak/>
              <w:t>khoản có vướng mắc, bất cập, không còn phù hợp và chủ trương cụ thể cần tiếp tục thể chế hóa</w:t>
            </w:r>
          </w:p>
        </w:tc>
      </w:tr>
      <w:tr w:rsidR="00F50200">
        <w:tc>
          <w:tcPr>
            <w:tcW w:w="959" w:type="dxa"/>
            <w:vAlign w:val="center"/>
          </w:tcPr>
          <w:p w:rsidR="00F50200" w:rsidRDefault="00F50200" w:rsidP="00F50200">
            <w:pPr>
              <w:jc w:val="center"/>
              <w:rPr>
                <w:bCs/>
                <w:iCs/>
                <w:sz w:val="26"/>
                <w:szCs w:val="26"/>
              </w:rPr>
            </w:pPr>
            <w:r>
              <w:rPr>
                <w:bCs/>
                <w:iCs/>
                <w:sz w:val="26"/>
                <w:szCs w:val="26"/>
              </w:rPr>
              <w:lastRenderedPageBreak/>
              <w:t>4.</w:t>
            </w:r>
          </w:p>
        </w:tc>
        <w:tc>
          <w:tcPr>
            <w:tcW w:w="1848" w:type="dxa"/>
            <w:vAlign w:val="center"/>
          </w:tcPr>
          <w:p w:rsidR="00F50200" w:rsidRDefault="00F50200" w:rsidP="00F50200">
            <w:pPr>
              <w:jc w:val="both"/>
              <w:rPr>
                <w:bCs/>
                <w:iCs/>
                <w:sz w:val="26"/>
                <w:szCs w:val="26"/>
              </w:rPr>
            </w:pPr>
            <w:r>
              <w:rPr>
                <w:bCs/>
                <w:iCs/>
                <w:sz w:val="26"/>
                <w:szCs w:val="26"/>
              </w:rPr>
              <w:t>Nghị quyết số 12/2021/NQ-HĐND ngày 30/09/2021 của HĐND tỉnh Bình Phước Quy định chính sách hỗ trợ tổ chức, cá nhân đầu tư, đổi mới thiết bị, công nghệ trên địa bàn tỉnh Bình Phước</w:t>
            </w:r>
          </w:p>
        </w:tc>
        <w:tc>
          <w:tcPr>
            <w:tcW w:w="2121" w:type="dxa"/>
            <w:vAlign w:val="center"/>
          </w:tcPr>
          <w:p w:rsidR="00F50200" w:rsidRDefault="00F50200" w:rsidP="00F50200">
            <w:pPr>
              <w:jc w:val="both"/>
              <w:rPr>
                <w:bCs/>
                <w:iCs/>
                <w:sz w:val="26"/>
                <w:szCs w:val="26"/>
              </w:rPr>
            </w:pPr>
            <w:r>
              <w:rPr>
                <w:bCs/>
                <w:iCs/>
                <w:sz w:val="26"/>
                <w:szCs w:val="26"/>
              </w:rPr>
              <w:t>Luật sửa đổi, bổ sung một số điều của Luật chuyển giao công nghệ 2017; Nghị định số 101/2026/NĐ-CP ngày 31/3/2026</w:t>
            </w:r>
          </w:p>
        </w:tc>
        <w:tc>
          <w:tcPr>
            <w:tcW w:w="4003" w:type="dxa"/>
            <w:vAlign w:val="center"/>
          </w:tcPr>
          <w:p w:rsidR="00F50200" w:rsidRDefault="00F50200" w:rsidP="00F50200">
            <w:pPr>
              <w:jc w:val="both"/>
              <w:rPr>
                <w:bCs/>
                <w:iCs/>
                <w:sz w:val="26"/>
                <w:szCs w:val="26"/>
              </w:rPr>
            </w:pPr>
            <w:r>
              <w:rPr>
                <w:bCs/>
                <w:iCs/>
                <w:sz w:val="26"/>
                <w:szCs w:val="26"/>
              </w:rPr>
              <w:t>1. Căn cứ pháp lý chưa đầy đủ và đồng bộ</w:t>
            </w:r>
            <w:r>
              <w:rPr>
                <w:bCs/>
                <w:iCs/>
                <w:sz w:val="26"/>
                <w:szCs w:val="26"/>
              </w:rPr>
              <w:br/>
              <w:t>- Hệ thống văn bản pháp luật hướng dẫn liên quan đến hoạt động hỗ trợ doanh nghiệp đổi mới công nghệ còn thiếu, chưa thống nhất giữa các lĩnh vực (khoa học – công nghệ, tài chính, đầu tư công...).</w:t>
            </w:r>
            <w:r>
              <w:rPr>
                <w:bCs/>
                <w:iCs/>
                <w:sz w:val="26"/>
                <w:szCs w:val="26"/>
              </w:rPr>
              <w:br/>
              <w:t>- Việc xây dựng các nghị quyết dựa chủ yếu trên quy định của Luật Khoa học và Công nghệ, trong khi chưa có hướng dẫn cụ thể về hỗ trợ đổi mới thiết bị công nghệ cho doanh nghiệp một cách độc lập, linh hoạt.</w:t>
            </w:r>
            <w:r>
              <w:rPr>
                <w:bCs/>
                <w:iCs/>
                <w:sz w:val="26"/>
                <w:szCs w:val="26"/>
              </w:rPr>
              <w:br/>
              <w:t>2. Quy trình thực hiện phức tạp, không phù hợp với nhu cầu thực tiễn</w:t>
            </w:r>
            <w:r>
              <w:rPr>
                <w:bCs/>
                <w:iCs/>
                <w:sz w:val="26"/>
                <w:szCs w:val="26"/>
              </w:rPr>
              <w:br/>
              <w:t>- Các nội dung hỗ trợ đều triển khai theo quy trình thực hiện nhiệm vụ khoa học và công nghệ (KH&amp;CN), bao gồm nhiều bước: đề xuất nhiệm vụ, tuyển chọn/giao trực tiếp, thẩm định, ký hợp đồng, tổ chức thực hiện, nghiệm thu, bàn giao tài sản, công bố kết quả...</w:t>
            </w:r>
            <w:r>
              <w:rPr>
                <w:bCs/>
                <w:iCs/>
                <w:sz w:val="26"/>
                <w:szCs w:val="26"/>
              </w:rPr>
              <w:br/>
              <w:t>- Tổng thời gian thực hiện một nhiệm vụ có thể kéo dài trên 12 tháng, không phù hợp với nhu cầu đầu tư thiết bị, công nghệ mang tính tức thời, linh hoạt của doanh nghiệp.</w:t>
            </w:r>
            <w:r>
              <w:rPr>
                <w:bCs/>
                <w:iCs/>
                <w:sz w:val="26"/>
                <w:szCs w:val="26"/>
              </w:rPr>
              <w:br/>
              <w:t xml:space="preserve">- Quy trình này làm giảm đáng kể sự quan tâm, tham gia của doanh nghiệp, nhất là các doanh nghiệp nhỏ </w:t>
            </w:r>
            <w:r>
              <w:rPr>
                <w:bCs/>
                <w:iCs/>
                <w:sz w:val="26"/>
                <w:szCs w:val="26"/>
              </w:rPr>
              <w:lastRenderedPageBreak/>
              <w:t>và vừa.</w:t>
            </w:r>
            <w:r>
              <w:rPr>
                <w:bCs/>
                <w:iCs/>
                <w:sz w:val="26"/>
                <w:szCs w:val="26"/>
              </w:rPr>
              <w:br/>
              <w:t>3. Mức hỗ trợ còn thấp; cơ chế ràng buộc gây khó cho doanh nghiệp</w:t>
            </w:r>
            <w:r>
              <w:rPr>
                <w:bCs/>
                <w:iCs/>
                <w:sz w:val="26"/>
                <w:szCs w:val="26"/>
              </w:rPr>
              <w:br/>
              <w:t>- Mức hỗ trợ tối đa là 30% giá trị công nghệ đầu tư, nhưng không vượt quá 01 tỷ đồng. Trong khi đó, các dây chuyền, thiết bị công nghệ hiện đại thường có chi phí cao (từ 03 – 10 tỷ đồng trở lên), khiến doanh nghiệp phải đầu tư vốn đối ứng lớn (70%).</w:t>
            </w:r>
            <w:r>
              <w:rPr>
                <w:bCs/>
                <w:iCs/>
                <w:sz w:val="26"/>
                <w:szCs w:val="26"/>
              </w:rPr>
              <w:br/>
              <w:t>- Doanh nghiệp không được tự chọn đơn vị chuyển giao công nghệ, mà phải thực hiện đấu thầu, gây mất thời gian và tính chủ động.</w:t>
            </w:r>
            <w:r>
              <w:rPr>
                <w:bCs/>
                <w:iCs/>
                <w:sz w:val="26"/>
                <w:szCs w:val="26"/>
              </w:rPr>
              <w:br/>
              <w:t>- Ngoài ra, việc bàn giao tài sản hình thành từ nguồn ngân sách nhà nước cho doanh nghiệp sử dụng hoặc sở hữu còn gặp vướng mắc trong quy định pháp luật hiện hành (phân định sở hữu, ghi tăng tài sản...). 01/3/2027 Tiêu chí 5</w:t>
            </w:r>
            <w:r>
              <w:rPr>
                <w:bCs/>
                <w:iCs/>
                <w:sz w:val="26"/>
                <w:szCs w:val="26"/>
              </w:rPr>
              <w:br/>
              <w:t>Do sắp xếp  chính quyền địa phương 02 cấp không còn phù hợp, do đó đề xuất thay thế.</w:t>
            </w:r>
          </w:p>
        </w:tc>
        <w:tc>
          <w:tcPr>
            <w:tcW w:w="1417" w:type="dxa"/>
            <w:vAlign w:val="center"/>
          </w:tcPr>
          <w:p w:rsidR="00F50200" w:rsidRDefault="00F50200" w:rsidP="00F50200">
            <w:pPr>
              <w:jc w:val="both"/>
              <w:rPr>
                <w:bCs/>
                <w:iCs/>
                <w:sz w:val="26"/>
                <w:szCs w:val="26"/>
              </w:rPr>
            </w:pPr>
            <w:r>
              <w:rPr>
                <w:bCs/>
                <w:iCs/>
                <w:sz w:val="26"/>
                <w:szCs w:val="26"/>
              </w:rPr>
              <w:lastRenderedPageBreak/>
              <w:t>Thay thế</w:t>
            </w:r>
          </w:p>
        </w:tc>
        <w:tc>
          <w:tcPr>
            <w:tcW w:w="1275" w:type="dxa"/>
            <w:vAlign w:val="center"/>
          </w:tcPr>
          <w:p w:rsidR="00F50200" w:rsidRDefault="00F50200" w:rsidP="00F50200">
            <w:pPr>
              <w:jc w:val="both"/>
              <w:rPr>
                <w:bCs/>
                <w:iCs/>
                <w:sz w:val="26"/>
                <w:szCs w:val="26"/>
              </w:rPr>
            </w:pPr>
            <w:r>
              <w:rPr>
                <w:bCs/>
                <w:iCs/>
                <w:sz w:val="26"/>
                <w:szCs w:val="26"/>
              </w:rPr>
              <w:t>Tháng 12/2026</w:t>
            </w:r>
          </w:p>
        </w:tc>
        <w:tc>
          <w:tcPr>
            <w:tcW w:w="1904" w:type="dxa"/>
            <w:vAlign w:val="center"/>
          </w:tcPr>
          <w:p w:rsidR="00F50200" w:rsidRDefault="00F50200" w:rsidP="00F50200">
            <w:pPr>
              <w:jc w:val="both"/>
              <w:rPr>
                <w:bCs/>
                <w:iCs/>
                <w:sz w:val="26"/>
                <w:szCs w:val="26"/>
              </w:rPr>
            </w:pPr>
            <w:r>
              <w:rPr>
                <w:bCs/>
                <w:iCs/>
                <w:sz w:val="26"/>
                <w:szCs w:val="26"/>
              </w:rPr>
              <w:t xml:space="preserve">Tiêu chí 1.2 - Tiêu chí về khoa học, công nghệ </w:t>
            </w:r>
          </w:p>
        </w:tc>
        <w:tc>
          <w:tcPr>
            <w:tcW w:w="1710" w:type="dxa"/>
            <w:vAlign w:val="center"/>
          </w:tcPr>
          <w:p w:rsidR="00EF5E47" w:rsidRDefault="00EF5E47" w:rsidP="00EF5E47">
            <w:pPr>
              <w:jc w:val="both"/>
              <w:rPr>
                <w:sz w:val="24"/>
              </w:rPr>
            </w:pPr>
            <w:r>
              <w:rPr>
                <w:sz w:val="24"/>
              </w:rPr>
              <w:t>Bổ sung mới</w:t>
            </w:r>
          </w:p>
          <w:p w:rsidR="00F50200" w:rsidRDefault="00F50200" w:rsidP="00F50200">
            <w:pPr>
              <w:jc w:val="both"/>
              <w:rPr>
                <w:bCs/>
                <w:iCs/>
                <w:sz w:val="26"/>
                <w:szCs w:val="26"/>
              </w:rPr>
            </w:pPr>
            <w:r>
              <w:rPr>
                <w:bCs/>
                <w:iCs/>
                <w:sz w:val="26"/>
                <w:szCs w:val="26"/>
              </w:rPr>
              <w:t>Nhất trí</w:t>
            </w:r>
          </w:p>
        </w:tc>
      </w:tr>
      <w:tr w:rsidR="00F50200">
        <w:tc>
          <w:tcPr>
            <w:tcW w:w="959" w:type="dxa"/>
            <w:vAlign w:val="center"/>
          </w:tcPr>
          <w:p w:rsidR="00F50200" w:rsidRDefault="00F50200" w:rsidP="00F50200">
            <w:pPr>
              <w:jc w:val="center"/>
              <w:rPr>
                <w:bCs/>
                <w:iCs/>
                <w:sz w:val="26"/>
                <w:szCs w:val="26"/>
              </w:rPr>
            </w:pPr>
            <w:r>
              <w:rPr>
                <w:bCs/>
                <w:iCs/>
                <w:sz w:val="26"/>
                <w:szCs w:val="26"/>
              </w:rPr>
              <w:t>5.</w:t>
            </w:r>
          </w:p>
        </w:tc>
        <w:tc>
          <w:tcPr>
            <w:tcW w:w="1848" w:type="dxa"/>
            <w:vAlign w:val="center"/>
          </w:tcPr>
          <w:p w:rsidR="00F50200" w:rsidRDefault="00F50200" w:rsidP="00F50200">
            <w:pPr>
              <w:jc w:val="both"/>
              <w:rPr>
                <w:bCs/>
                <w:iCs/>
                <w:sz w:val="26"/>
                <w:szCs w:val="26"/>
              </w:rPr>
            </w:pPr>
            <w:r>
              <w:rPr>
                <w:bCs/>
                <w:iCs/>
                <w:sz w:val="26"/>
                <w:szCs w:val="26"/>
              </w:rPr>
              <w:t xml:space="preserve">Nghị quyết số 20/2021/NQ-HĐND ngày 08/12/2021 của HĐND tỉnh Đồng Nai Quy định nội dung chi, mức chi </w:t>
            </w:r>
            <w:r>
              <w:rPr>
                <w:bCs/>
                <w:iCs/>
                <w:sz w:val="26"/>
                <w:szCs w:val="26"/>
              </w:rPr>
              <w:lastRenderedPageBreak/>
              <w:t>thực hiện các nhiệm vụ hỗ trợ doanh nghiệp nâng cao năng suất và chất lượng sản phẩm, hàng hóa giai đoạn 2021-2030 trên địa bàn tỉnh Đồng Nai</w:t>
            </w:r>
          </w:p>
        </w:tc>
        <w:tc>
          <w:tcPr>
            <w:tcW w:w="2121" w:type="dxa"/>
            <w:vAlign w:val="center"/>
          </w:tcPr>
          <w:p w:rsidR="00F50200" w:rsidRDefault="00F50200" w:rsidP="00F50200">
            <w:pPr>
              <w:jc w:val="both"/>
              <w:rPr>
                <w:bCs/>
                <w:iCs/>
                <w:sz w:val="26"/>
                <w:szCs w:val="26"/>
              </w:rPr>
            </w:pPr>
            <w:r>
              <w:rPr>
                <w:bCs/>
                <w:iCs/>
                <w:sz w:val="26"/>
                <w:szCs w:val="26"/>
              </w:rPr>
              <w:lastRenderedPageBreak/>
              <w:t xml:space="preserve">Khoản 1 Điều 11 Thông tư số 35/2021/TT-BTC ngày 19/5/2021 của Bộ trưởng Bộ Tài chính quy định Hội đồng nhân dân cấp tỉnh </w:t>
            </w:r>
            <w:r>
              <w:rPr>
                <w:bCs/>
                <w:iCs/>
                <w:sz w:val="26"/>
                <w:szCs w:val="26"/>
              </w:rPr>
              <w:lastRenderedPageBreak/>
              <w:t xml:space="preserve">quyết định cụ thể mức chi thực hiện Chương trình quốc gia hỗ trợ doanh nghiệp nâng cao năng suất và chất lượng sản phẩm, hàng hóa do địa phương thực hiện trên cơ sở tiêu chí, điều kiện xét chọn và khả năng cân đối nguồn lực. </w:t>
            </w:r>
            <w:r>
              <w:rPr>
                <w:bCs/>
                <w:iCs/>
                <w:sz w:val="26"/>
                <w:szCs w:val="26"/>
              </w:rPr>
              <w:br/>
              <w:t xml:space="preserve">-  Nghị quyết số 20/2021/NQ-HĐND được ban hành trên cơ sở Luật Khoa học và Công nghệ năm 2013, Thông tư số 35/2021/TT-BTC và Thông tư liên tịch số 55/2015/TTLT-BTC-BKHCN. Đến nay, Luật Khoa học và Công nghệ năm 2013 đã được thay thế bởi Luật Khoa học, Công nghệ và Đổi </w:t>
            </w:r>
            <w:r>
              <w:rPr>
                <w:bCs/>
                <w:iCs/>
                <w:sz w:val="26"/>
                <w:szCs w:val="26"/>
              </w:rPr>
              <w:lastRenderedPageBreak/>
              <w:t xml:space="preserve">mới sáng tạo số 93/2025/QH15; Chính phủ đã ban hành Nghị định số 265/2025/NĐ-CP, Nghị định số 267/2025/NĐ-CP, Nghị định số 268/2025/NĐ-CP; đồng thời cơ chế tài chính quy định tại Thông tư liên tịch số 55/2015/TTLT-BTC-BKHCN đã hết hiệu lực và được thay thế bởi Thông tư số 38/2025/TT-BKHCN và Thông tư số 39/2025/TT-BKHCN. </w:t>
            </w:r>
            <w:r>
              <w:rPr>
                <w:bCs/>
                <w:iCs/>
                <w:sz w:val="26"/>
                <w:szCs w:val="26"/>
              </w:rPr>
              <w:br/>
              <w:t>-  Thực hiện chủ trương sắp xếp đơn vị hành chính cấp tỉnh và thành lập thành phố Đồng Nai;</w:t>
            </w:r>
          </w:p>
        </w:tc>
        <w:tc>
          <w:tcPr>
            <w:tcW w:w="4003" w:type="dxa"/>
            <w:vAlign w:val="center"/>
          </w:tcPr>
          <w:p w:rsidR="00F50200" w:rsidRDefault="00F50200" w:rsidP="00F50200">
            <w:pPr>
              <w:jc w:val="both"/>
              <w:rPr>
                <w:bCs/>
                <w:iCs/>
                <w:sz w:val="26"/>
                <w:szCs w:val="26"/>
              </w:rPr>
            </w:pPr>
            <w:r>
              <w:rPr>
                <w:bCs/>
                <w:iCs/>
                <w:sz w:val="26"/>
                <w:szCs w:val="26"/>
              </w:rPr>
              <w:lastRenderedPageBreak/>
              <w:t xml:space="preserve">Nghị quyết số 20/2021/NQ-HĐND quy định nội dung và mức chi hỗ trợ doanh nghiệp nâng cao năng suất, chất lượng sản phẩm, hàng hóa giai đoạn 2021–2030 trên địa bàn tỉnh Đồng Nai. Qua rà soát, nhiều quy định của Nghị quyết không còn phù hợp với hệ thống pháp luật và yêu </w:t>
            </w:r>
            <w:r>
              <w:rPr>
                <w:bCs/>
                <w:iCs/>
                <w:sz w:val="26"/>
                <w:szCs w:val="26"/>
              </w:rPr>
              <w:lastRenderedPageBreak/>
              <w:t>cầu quản lý hiện hành, cụ thể:</w:t>
            </w:r>
            <w:r>
              <w:rPr>
                <w:bCs/>
                <w:iCs/>
                <w:sz w:val="26"/>
                <w:szCs w:val="26"/>
              </w:rPr>
              <w:br/>
              <w:t xml:space="preserve">- Các quy định về nội dung chi, mức chi, cơ chế quản lý tài chính đối với nhiệm vụ khoa học và công nghệ được xây dựng trên cơ sở Luật Khoa học và Công nghệ năm 2013 và Thông tư liên tịch số 55/2015/TTLT-BTC-BKHCN; đến nay các văn bản này đã được thay thế bởi Luật Khoa học, Công nghệ và Đổi mới sáng tạo số 93/2025/QH15, Nghị định số 265/2025/NĐ-CP, Nghị định số 267/2025/NĐ-CP, Nghị định số 268/2025/NĐ-CP và Thông tư số 38/2025/TT-BKHCN, Thông tư số 39/2025/TT-BKHCN, làm thay đổi căn bản cơ chế quản lý, lập dự toán, sử dụng và quyết toán kinh phí thực hiện nhiệm vụ khoa học, công nghệ và đổi mới sáng tạo. </w:t>
            </w:r>
            <w:r>
              <w:rPr>
                <w:bCs/>
                <w:iCs/>
                <w:sz w:val="26"/>
                <w:szCs w:val="26"/>
              </w:rPr>
              <w:br/>
              <w:t xml:space="preserve">- Việc triển khai Nghị quyết thời gian qua cho thấy cần tiếp tục hoàn thiện chính sách hỗ trợ doanh nghiệp, nhất là doanh nghiệp nhỏ và vừa, theo hướng tập trung hỗ trợ áp dụng tiêu chuẩn, quy chuẩn kỹ thuật, hệ thống quản lý, công cụ cải tiến năng suất chất lượng, truy xuất nguồn gốc, chuyển đổi số, tiêu chuẩn xanh, đào tạo nguồn nhân lực chất lượng cao và các giải pháp đổi mới sáng tạo phù hợp với yêu cầu phát </w:t>
            </w:r>
            <w:r>
              <w:rPr>
                <w:bCs/>
                <w:iCs/>
                <w:sz w:val="26"/>
                <w:szCs w:val="26"/>
              </w:rPr>
              <w:lastRenderedPageBreak/>
              <w:t xml:space="preserve">triển kinh tế - xã hội của thành phố Đồng Nai. </w:t>
            </w:r>
            <w:r>
              <w:rPr>
                <w:bCs/>
                <w:iCs/>
                <w:sz w:val="26"/>
                <w:szCs w:val="26"/>
              </w:rPr>
              <w:br/>
              <w:t xml:space="preserve">- Đồng thời, việc sắp xếp đơn vị hành chính, thành lập thành phố Đồng Nai làm thay đổi phạm vi áp dụng, đối tượng hỗ trợ, cơ quan tổ chức thực hiện và yêu cầu quản lý nhà nước; do đó cần cập nhật để bảo đảm phù hợp với mô hình tổ chức chính quyền địa phương hiện hành. </w:t>
            </w:r>
            <w:r>
              <w:rPr>
                <w:bCs/>
                <w:iCs/>
                <w:sz w:val="26"/>
                <w:szCs w:val="26"/>
              </w:rPr>
              <w:br/>
              <w:t>- Các căn cứ pháp lý làm cơ sở ban hành Nghị quyết số 20/2021/NQ-HĐND đã có sự thay đổi cơ bản; đồng thời nội dung dự kiến sửa đổi, bổ sung chiếm phần lớn nội dung của Nghị quyết, thuộc trường hợp phải ban hành văn bản mới thay thế theo khoản 4 Điều 8 Luật Ban hành văn bản quy phạm pháp luật năm 2025. Vì vậy, cần ban hành Nghị quyết thay thế nhằm thể chế hóa đầy đủ các quy định mới của pháp luật về khoa học, công nghệ và đổi mới sáng tạo; cụ thể hóa cơ chế, nội dung và mức chi hỗ trợ doanh nghiệp nâng cao năng suất, chất lượng; cập nhật phạm vi điều chỉnh, đối tượng áp dụng và tổ chức thực hiện phù hợp với mô hình chính quyền địa phương sau sắp xếp, bảo đảm tính hợp hiến, hợp pháp, thống nhất và đồng bộ của hệ thống pháp luật.</w:t>
            </w:r>
          </w:p>
        </w:tc>
        <w:tc>
          <w:tcPr>
            <w:tcW w:w="1417" w:type="dxa"/>
            <w:vAlign w:val="center"/>
          </w:tcPr>
          <w:p w:rsidR="00F50200" w:rsidRDefault="00F50200" w:rsidP="00F50200">
            <w:pPr>
              <w:jc w:val="both"/>
              <w:rPr>
                <w:bCs/>
                <w:iCs/>
                <w:sz w:val="26"/>
                <w:szCs w:val="26"/>
              </w:rPr>
            </w:pPr>
            <w:r>
              <w:rPr>
                <w:bCs/>
                <w:iCs/>
                <w:sz w:val="26"/>
                <w:szCs w:val="26"/>
              </w:rPr>
              <w:lastRenderedPageBreak/>
              <w:t>Thay thế</w:t>
            </w:r>
          </w:p>
        </w:tc>
        <w:tc>
          <w:tcPr>
            <w:tcW w:w="1275" w:type="dxa"/>
            <w:vAlign w:val="center"/>
          </w:tcPr>
          <w:p w:rsidR="00F50200" w:rsidRDefault="00F50200" w:rsidP="00F50200">
            <w:pPr>
              <w:jc w:val="both"/>
              <w:rPr>
                <w:bCs/>
                <w:iCs/>
                <w:sz w:val="26"/>
                <w:szCs w:val="26"/>
              </w:rPr>
            </w:pPr>
            <w:r>
              <w:rPr>
                <w:bCs/>
                <w:iCs/>
                <w:sz w:val="26"/>
                <w:szCs w:val="26"/>
              </w:rPr>
              <w:t>Tháng 9/2026</w:t>
            </w:r>
          </w:p>
        </w:tc>
        <w:tc>
          <w:tcPr>
            <w:tcW w:w="1904" w:type="dxa"/>
            <w:vAlign w:val="center"/>
          </w:tcPr>
          <w:p w:rsidR="00F50200" w:rsidRDefault="00F50200" w:rsidP="00F50200">
            <w:pPr>
              <w:jc w:val="both"/>
              <w:rPr>
                <w:bCs/>
                <w:iCs/>
                <w:sz w:val="26"/>
                <w:szCs w:val="26"/>
              </w:rPr>
            </w:pPr>
            <w:r>
              <w:rPr>
                <w:bCs/>
                <w:iCs/>
                <w:sz w:val="26"/>
                <w:szCs w:val="26"/>
              </w:rPr>
              <w:t xml:space="preserve">Tiêu chí 1.2 - Tiêu chí về khoa học, công nghệ </w:t>
            </w:r>
          </w:p>
        </w:tc>
        <w:tc>
          <w:tcPr>
            <w:tcW w:w="1710" w:type="dxa"/>
            <w:vAlign w:val="center"/>
          </w:tcPr>
          <w:p w:rsidR="00F50200" w:rsidRDefault="00F50200" w:rsidP="00F50200">
            <w:pPr>
              <w:jc w:val="both"/>
              <w:rPr>
                <w:bCs/>
                <w:iCs/>
                <w:sz w:val="26"/>
                <w:szCs w:val="26"/>
              </w:rPr>
            </w:pPr>
            <w:r w:rsidRPr="00ED0DF3">
              <w:rPr>
                <w:sz w:val="24"/>
              </w:rPr>
              <w:t xml:space="preserve">Cần làm rõ, hoàn thiện thêm: Đề nghị làm rõ điều, khoản có vướng mắc, bất cập, không còn phù hợp và chủ trương cụ thể </w:t>
            </w:r>
            <w:r w:rsidRPr="00ED0DF3">
              <w:rPr>
                <w:sz w:val="24"/>
              </w:rPr>
              <w:lastRenderedPageBreak/>
              <w:t>cần tiếp tục thể chế hóa</w:t>
            </w:r>
          </w:p>
        </w:tc>
      </w:tr>
      <w:tr w:rsidR="00F50200" w:rsidTr="00C474DE">
        <w:tc>
          <w:tcPr>
            <w:tcW w:w="959" w:type="dxa"/>
            <w:vAlign w:val="center"/>
          </w:tcPr>
          <w:p w:rsidR="00F50200" w:rsidRDefault="00F50200" w:rsidP="00F50200">
            <w:pPr>
              <w:jc w:val="center"/>
              <w:rPr>
                <w:bCs/>
                <w:iCs/>
                <w:sz w:val="26"/>
                <w:szCs w:val="26"/>
              </w:rPr>
            </w:pPr>
            <w:r>
              <w:rPr>
                <w:bCs/>
                <w:iCs/>
                <w:sz w:val="26"/>
                <w:szCs w:val="26"/>
              </w:rPr>
              <w:lastRenderedPageBreak/>
              <w:t>6.</w:t>
            </w:r>
          </w:p>
        </w:tc>
        <w:tc>
          <w:tcPr>
            <w:tcW w:w="1848" w:type="dxa"/>
            <w:vAlign w:val="center"/>
          </w:tcPr>
          <w:p w:rsidR="00F50200" w:rsidRDefault="00F50200" w:rsidP="00F50200">
            <w:pPr>
              <w:jc w:val="both"/>
              <w:rPr>
                <w:bCs/>
                <w:iCs/>
                <w:sz w:val="26"/>
                <w:szCs w:val="26"/>
              </w:rPr>
            </w:pPr>
            <w:r>
              <w:rPr>
                <w:bCs/>
                <w:iCs/>
                <w:sz w:val="26"/>
                <w:szCs w:val="26"/>
              </w:rPr>
              <w:t>Nghị quyết số 30/2022/NQ-HĐND ngày 10/12/2022 của HĐND tỉnh Đồng Nai Nghị quyết quy định mức hỗ trợ đăng ký bảo hộ tài sản trí tuệ trên địa bàn tỉnh Đồng Nai đến năm 2030</w:t>
            </w:r>
          </w:p>
        </w:tc>
        <w:tc>
          <w:tcPr>
            <w:tcW w:w="2121" w:type="dxa"/>
            <w:vAlign w:val="center"/>
          </w:tcPr>
          <w:p w:rsidR="00F50200" w:rsidRDefault="00F50200" w:rsidP="00F50200">
            <w:pPr>
              <w:jc w:val="both"/>
              <w:rPr>
                <w:bCs/>
                <w:iCs/>
                <w:sz w:val="26"/>
                <w:szCs w:val="26"/>
              </w:rPr>
            </w:pPr>
            <w:r>
              <w:rPr>
                <w:bCs/>
                <w:iCs/>
                <w:sz w:val="26"/>
                <w:szCs w:val="26"/>
              </w:rPr>
              <w:t xml:space="preserve">Một số văn bản là căn cứ pháp lý ban hành Nghị quyết đã hết hiệu lực như: Luật Tổ chức chính quyền địa phương ngày 19 tháng 6 năm 2015; Luật sửa đổi, bổ sung một số điều của Luật Tổ chức Chính phủ và Luật Tổ chức chính quyền địa phương; Luật Ban hành văn bản quy phạm pháp luật; Luật sửa đổi, bổ sung một số điều của Luật Ban hành văn bản quy phạm pháp luật; Luật Khoa học và Công nghệ ngày 18 tháng 6 năm 2013; Luật Sở hữu trí tuệ ngày 29 tháng 11 năm 2005; Luật sửa đổi, bổ sung một số điều của Luật Sở hữu trí tuệ </w:t>
            </w:r>
            <w:r>
              <w:rPr>
                <w:bCs/>
                <w:iCs/>
                <w:sz w:val="26"/>
                <w:szCs w:val="26"/>
              </w:rPr>
              <w:lastRenderedPageBreak/>
              <w:t>ngày 19 tháng 6 năm 2009; Luật sửa đổi, bổ sung một số điều của Luật Kinh doanh bảo hiểm, Luật Sở hữu trí tuệ ngày 14 tháng 6 năm 2019;Nghị định số 95/2014/NĐ-CP ngày 17 tháng 10 năm 2014 của Chính phủ về quy định đầu tư và cơ chế tài chính đối với hoạt động khoa học và công nghệ;</w:t>
            </w:r>
            <w:r>
              <w:rPr>
                <w:bCs/>
                <w:iCs/>
                <w:sz w:val="26"/>
                <w:szCs w:val="26"/>
              </w:rPr>
              <w:br/>
              <w:t>Phạm vi và đối tượng điều chỉnh không còn phù hợp để áp dụng khi sắp xếp chính quyền địa phương 02 cấp;</w:t>
            </w:r>
            <w:r>
              <w:rPr>
                <w:bCs/>
                <w:iCs/>
                <w:sz w:val="26"/>
                <w:szCs w:val="26"/>
              </w:rPr>
              <w:br/>
              <w:t xml:space="preserve">Tại khoản 1 và gạch đầu dòng thứ 3 khoản 4 điều 1 cụm từ " nhãn hiệu hàng hóa" không phù hợp với quy định tại </w:t>
            </w:r>
            <w:r>
              <w:rPr>
                <w:bCs/>
                <w:iCs/>
                <w:sz w:val="26"/>
                <w:szCs w:val="26"/>
              </w:rPr>
              <w:lastRenderedPageBreak/>
              <w:t>gạch đầu dòng thứ 2 điểm a khoản 1 điều 6 Thông tư số 75/2021/TT-BTC cụm từ "nhãn hiệu".</w:t>
            </w:r>
          </w:p>
        </w:tc>
        <w:tc>
          <w:tcPr>
            <w:tcW w:w="4003" w:type="dxa"/>
            <w:vAlign w:val="center"/>
          </w:tcPr>
          <w:p w:rsidR="00F50200" w:rsidRDefault="00F50200" w:rsidP="00F50200">
            <w:pPr>
              <w:jc w:val="both"/>
              <w:rPr>
                <w:bCs/>
                <w:iCs/>
                <w:sz w:val="26"/>
                <w:szCs w:val="26"/>
              </w:rPr>
            </w:pPr>
            <w:r>
              <w:rPr>
                <w:bCs/>
                <w:iCs/>
                <w:sz w:val="26"/>
                <w:szCs w:val="26"/>
              </w:rPr>
              <w:lastRenderedPageBreak/>
              <w:t>Một số văn bản là căn cứ pháp lý ban hành Nghị quyết số 30/2022/NQ-HĐND đã hết hiệu lực hoặc không còn phù hợp với hệ thống pháp luật hiện hành .</w:t>
            </w:r>
            <w:r>
              <w:rPr>
                <w:bCs/>
                <w:iCs/>
                <w:sz w:val="26"/>
                <w:szCs w:val="26"/>
              </w:rPr>
              <w:br/>
              <w:t>Ngoài ra, tại khoản 1 và gạch đầu dòng thứ ba khoản 4 Điều 1 Nghị quyết số 30/2022/NQ-HĐND sử dụng cụm từ “nhãn hiệu hàng hóa”, chưa thống nhất với cụm từ “nhãn hiệu” được quy định tại gạch đầu dòng thứ hai điểm a khoản 1 Điều 6 Thông tư số 75/2021/TT-BTC. Vì vậy, cần rà soát, chỉnh lý thuật ngữ trong Nghị quyết thay thế để bảo đảm thống nhất với văn bản cấp trên và quy định của pháp luật về sở hữu trí tuệ.</w:t>
            </w:r>
            <w:r>
              <w:rPr>
                <w:bCs/>
                <w:iCs/>
                <w:sz w:val="26"/>
                <w:szCs w:val="26"/>
              </w:rPr>
              <w:br/>
              <w:t xml:space="preserve">Đối với nội dung hỗ trợ đăng ký bảo hộ sáng chế, Thông tư số 10/2026/TT-BKHCN ngày 31/3/2026 của Bộ Khoa học và Công nghệ có hiệu lực từ ngày 01/4/2026 đã quy định quy trình xử lý đơn theo hướng mới. Theo khoản 4 Điều 14 Thông tư số 10/2026/TT-BKHCN, trường hợp đơn đạt yêu cầu thì đơn được xác định là đơn hợp lệ và được chuyển công bố, thẩm định nội dung, không còn bước ban hành quyết định chấp nhận đơn hợp lệ như quy định trước đây. Vì vậy, việc quy định hỗ </w:t>
            </w:r>
            <w:r>
              <w:rPr>
                <w:bCs/>
                <w:iCs/>
                <w:sz w:val="26"/>
                <w:szCs w:val="26"/>
              </w:rPr>
              <w:lastRenderedPageBreak/>
              <w:t>trợ sáng chế dựa trên quyết định chấp nhận đơn hợp lệ là không còn phù hợp, cần được điều chỉnh khi xây dựng Nghị quyết thay thế.</w:t>
            </w:r>
            <w:r>
              <w:rPr>
                <w:bCs/>
                <w:iCs/>
                <w:sz w:val="26"/>
                <w:szCs w:val="26"/>
              </w:rPr>
              <w:br/>
              <w:t>Căn cứ khoản 4 Điều 8 Luật Ban hành văn bản quy phạm pháp luật số 64/2025/QH15 được sửa đổi, bổ sung bởi Luật số 87/2025/QH15, việc ban hành văn bản quy phạm pháp luật thay thế văn bản hiện hành được thực hiện khi có thay đổi cơ bản chính sách, phạm vi điều chỉnh, đối tượng áp dụng hoặc sửa đổi, bổ sung về nội dung quá một phần hai tổng số điều. Do đó, việc xây dựng Nghị quyết mới thay thế Nghị quyết số 30/2022/NQ-HĐND là cần thiết.</w:t>
            </w:r>
          </w:p>
        </w:tc>
        <w:tc>
          <w:tcPr>
            <w:tcW w:w="1417" w:type="dxa"/>
            <w:vAlign w:val="center"/>
          </w:tcPr>
          <w:p w:rsidR="00F50200" w:rsidRDefault="00F50200" w:rsidP="00F50200">
            <w:pPr>
              <w:jc w:val="both"/>
              <w:rPr>
                <w:bCs/>
                <w:iCs/>
                <w:sz w:val="26"/>
                <w:szCs w:val="26"/>
              </w:rPr>
            </w:pPr>
            <w:r>
              <w:rPr>
                <w:bCs/>
                <w:iCs/>
                <w:sz w:val="26"/>
                <w:szCs w:val="26"/>
              </w:rPr>
              <w:lastRenderedPageBreak/>
              <w:t>Thay thế</w:t>
            </w:r>
          </w:p>
        </w:tc>
        <w:tc>
          <w:tcPr>
            <w:tcW w:w="1275" w:type="dxa"/>
            <w:vAlign w:val="center"/>
          </w:tcPr>
          <w:p w:rsidR="00F50200" w:rsidRDefault="00F50200" w:rsidP="00F50200">
            <w:pPr>
              <w:jc w:val="both"/>
              <w:rPr>
                <w:bCs/>
                <w:iCs/>
                <w:sz w:val="26"/>
                <w:szCs w:val="26"/>
              </w:rPr>
            </w:pPr>
            <w:r>
              <w:rPr>
                <w:bCs/>
                <w:iCs/>
                <w:sz w:val="26"/>
                <w:szCs w:val="26"/>
              </w:rPr>
              <w:t>Tháng 02/2027</w:t>
            </w:r>
          </w:p>
        </w:tc>
        <w:tc>
          <w:tcPr>
            <w:tcW w:w="1904" w:type="dxa"/>
            <w:vAlign w:val="center"/>
          </w:tcPr>
          <w:p w:rsidR="00F50200" w:rsidRDefault="00F50200" w:rsidP="00F50200">
            <w:pPr>
              <w:jc w:val="both"/>
              <w:rPr>
                <w:bCs/>
                <w:iCs/>
                <w:sz w:val="26"/>
                <w:szCs w:val="26"/>
              </w:rPr>
            </w:pPr>
            <w:r>
              <w:rPr>
                <w:bCs/>
                <w:iCs/>
                <w:sz w:val="26"/>
                <w:szCs w:val="26"/>
              </w:rPr>
              <w:t xml:space="preserve">Tiêu chí 1.2 - Tiêu chí về khoa học, công nghệ </w:t>
            </w:r>
          </w:p>
        </w:tc>
        <w:tc>
          <w:tcPr>
            <w:tcW w:w="1710" w:type="dxa"/>
          </w:tcPr>
          <w:p w:rsidR="00F50200" w:rsidRPr="00ED0DF3" w:rsidRDefault="00F50200" w:rsidP="00F50200">
            <w:pPr>
              <w:jc w:val="both"/>
              <w:rPr>
                <w:sz w:val="24"/>
              </w:rPr>
            </w:pPr>
            <w:r w:rsidRPr="00ED0DF3">
              <w:rPr>
                <w:sz w:val="24"/>
              </w:rPr>
              <w:t>Cần làm rõ, hoàn thiện thêm: Đề nghị làm rõ điều, khoản có vướng mắc, bất cập, không còn phù hợp và chủ trương cụ thể cần tiếp tục thể chế hóa</w:t>
            </w:r>
          </w:p>
        </w:tc>
      </w:tr>
      <w:tr w:rsidR="00F50200">
        <w:tc>
          <w:tcPr>
            <w:tcW w:w="959" w:type="dxa"/>
            <w:vAlign w:val="center"/>
          </w:tcPr>
          <w:p w:rsidR="00F50200" w:rsidRDefault="00F50200" w:rsidP="00F50200">
            <w:pPr>
              <w:jc w:val="center"/>
              <w:rPr>
                <w:bCs/>
                <w:iCs/>
                <w:sz w:val="26"/>
                <w:szCs w:val="26"/>
              </w:rPr>
            </w:pPr>
            <w:r>
              <w:rPr>
                <w:bCs/>
                <w:iCs/>
                <w:sz w:val="26"/>
                <w:szCs w:val="26"/>
              </w:rPr>
              <w:lastRenderedPageBreak/>
              <w:t>7.</w:t>
            </w:r>
          </w:p>
        </w:tc>
        <w:tc>
          <w:tcPr>
            <w:tcW w:w="1848" w:type="dxa"/>
            <w:vAlign w:val="center"/>
          </w:tcPr>
          <w:p w:rsidR="00F50200" w:rsidRDefault="00F50200" w:rsidP="00F50200">
            <w:pPr>
              <w:jc w:val="both"/>
              <w:rPr>
                <w:bCs/>
                <w:iCs/>
                <w:sz w:val="26"/>
                <w:szCs w:val="26"/>
              </w:rPr>
            </w:pPr>
            <w:r>
              <w:rPr>
                <w:bCs/>
                <w:iCs/>
                <w:sz w:val="26"/>
                <w:szCs w:val="26"/>
              </w:rPr>
              <w:t>Nghị quyết số 31/2023/NQ-HĐND ngày 12/08/2023 của HĐND tỉnh Đồng Nai Quy định chính sách hỗ trợ doanh nghiệp về lĩnh vực công nghệ trên địa bàn tỉnh Đồng Nai đến năm 2030</w:t>
            </w:r>
          </w:p>
        </w:tc>
        <w:tc>
          <w:tcPr>
            <w:tcW w:w="2121" w:type="dxa"/>
            <w:vAlign w:val="center"/>
          </w:tcPr>
          <w:p w:rsidR="00F50200" w:rsidRDefault="00F50200" w:rsidP="00F50200">
            <w:pPr>
              <w:jc w:val="both"/>
              <w:rPr>
                <w:bCs/>
                <w:iCs/>
                <w:sz w:val="26"/>
                <w:szCs w:val="26"/>
              </w:rPr>
            </w:pPr>
            <w:r>
              <w:rPr>
                <w:bCs/>
                <w:iCs/>
                <w:sz w:val="26"/>
                <w:szCs w:val="26"/>
              </w:rPr>
              <w:t xml:space="preserve">Luật sửa đổi, bổ sung một số điều của Luật chuyển giao công nghệ 2017; Nghị định số 101/2026/NĐ-CP ngày 31/3/2026 có quy định chính sách hỗ trợ, khuyến khích ứng dụng, đổi mới công nghệ; tuy nhiên chưa quy định cụ thể định mức hỗ trợ; Căn cứ khoản 4 Điều 8 Luật Ban hành văn bản quy phạm pháp luật, khi có sự thay đổi cơ bản về chính sách, đối tượng và nội dung cần sửa đổi, bổ sung chiếm tỷ lệ lớn (trên 1/2 nội </w:t>
            </w:r>
            <w:r>
              <w:rPr>
                <w:bCs/>
                <w:iCs/>
                <w:sz w:val="26"/>
                <w:szCs w:val="26"/>
              </w:rPr>
              <w:lastRenderedPageBreak/>
              <w:t>dung), cần ban hành xây dựng một Nghị quyết mới để thay thế Nghị định cũ nhằm đảm bảo tính hợp hiến, hợp pháp, thống nhất và đồng bộ với hệ thống pháp luật hiện hành</w:t>
            </w:r>
          </w:p>
        </w:tc>
        <w:tc>
          <w:tcPr>
            <w:tcW w:w="4003" w:type="dxa"/>
            <w:vAlign w:val="center"/>
          </w:tcPr>
          <w:p w:rsidR="00F50200" w:rsidRDefault="00F50200" w:rsidP="00F50200">
            <w:pPr>
              <w:jc w:val="both"/>
              <w:rPr>
                <w:bCs/>
                <w:iCs/>
                <w:sz w:val="26"/>
                <w:szCs w:val="26"/>
              </w:rPr>
            </w:pPr>
            <w:r>
              <w:rPr>
                <w:bCs/>
                <w:iCs/>
                <w:sz w:val="26"/>
                <w:szCs w:val="26"/>
              </w:rPr>
              <w:lastRenderedPageBreak/>
              <w:t>hiện nay các căn cứ pháp lý ban hành Nghị quyết số 31/2023/NQ-HĐND đã hết hiệu lực và được thay thế bằng các quy định mới, cụ thể:</w:t>
            </w:r>
            <w:r>
              <w:rPr>
                <w:bCs/>
                <w:iCs/>
                <w:sz w:val="26"/>
                <w:szCs w:val="26"/>
              </w:rPr>
              <w:br/>
              <w:t>Nghị quyết số 31/2023/NQ-HĐND được xây dựng dựa trên nền tảng của Luật Khoa học và Công nghệ năm 2013, Luật Chuyển giao công nghệ số 07/2017/QH14. Hiện nay, Quốc hội đã ban hành Luật Khoa học, Công nghệ và Đổi mới sáng tạo số 93/2025/QH15, thay thế Luật Khoa học và Công nghệ năm 2013; Luật Chuyển giao công nghệ số 115/2025/QH15 sửa đổi Luật Chuyển giao công nghệ số 07/2017/QH14. Cùng với đó, Chính phủ đã ban hành các Nghị định mới hướng dẫn thi hành các Luật mới ban hành; Trên cơ sở đó, Bộ Khoa học và Công nghệ cũng đã ban hành các Thông tư mới quy định về trình tự, thủ tục quản lý triển khai nhiệm vụ.</w:t>
            </w:r>
            <w:r>
              <w:rPr>
                <w:bCs/>
                <w:iCs/>
                <w:sz w:val="26"/>
                <w:szCs w:val="26"/>
              </w:rPr>
              <w:br/>
              <w:t xml:space="preserve">Căn cứ khoản 4 Điều 8 Luật Ban hành văn bản quy phạm pháp luật, khi có sự thay đổi cơ bản về chính </w:t>
            </w:r>
            <w:r>
              <w:rPr>
                <w:bCs/>
                <w:iCs/>
                <w:sz w:val="26"/>
                <w:szCs w:val="26"/>
              </w:rPr>
              <w:lastRenderedPageBreak/>
              <w:t>sách, đối tượng và nội dung cần sửa đổi, bổ sung chiếm tỷ lệ lớn (trên 1/2 nội dung), cần ban hành xây dựng một Nghị quyết mới để thay thế Nghị định cũ nhằm đảm bảo tính hợp hiến, hợp pháp, thống nhất và đồng bộ với hệ thống pháp luật hiện hành.</w:t>
            </w:r>
            <w:r>
              <w:rPr>
                <w:bCs/>
                <w:iCs/>
                <w:sz w:val="26"/>
                <w:szCs w:val="26"/>
              </w:rPr>
              <w:br/>
              <w:t>Do sắp xếp  chính quyền địa phương 02 cấp không còn phù hợp, do đó đề xuất thay thế.</w:t>
            </w:r>
          </w:p>
        </w:tc>
        <w:tc>
          <w:tcPr>
            <w:tcW w:w="1417" w:type="dxa"/>
            <w:vAlign w:val="center"/>
          </w:tcPr>
          <w:p w:rsidR="00F50200" w:rsidRDefault="00F50200" w:rsidP="00F50200">
            <w:pPr>
              <w:jc w:val="both"/>
              <w:rPr>
                <w:bCs/>
                <w:iCs/>
                <w:sz w:val="26"/>
                <w:szCs w:val="26"/>
              </w:rPr>
            </w:pPr>
            <w:r>
              <w:rPr>
                <w:bCs/>
                <w:iCs/>
                <w:sz w:val="26"/>
                <w:szCs w:val="26"/>
              </w:rPr>
              <w:lastRenderedPageBreak/>
              <w:t>Thay thế</w:t>
            </w:r>
          </w:p>
        </w:tc>
        <w:tc>
          <w:tcPr>
            <w:tcW w:w="1275" w:type="dxa"/>
            <w:vAlign w:val="center"/>
          </w:tcPr>
          <w:p w:rsidR="00F50200" w:rsidRDefault="00F50200" w:rsidP="00F50200">
            <w:pPr>
              <w:jc w:val="both"/>
              <w:rPr>
                <w:bCs/>
                <w:iCs/>
                <w:sz w:val="26"/>
                <w:szCs w:val="26"/>
              </w:rPr>
            </w:pPr>
            <w:r>
              <w:rPr>
                <w:bCs/>
                <w:iCs/>
                <w:sz w:val="26"/>
                <w:szCs w:val="26"/>
              </w:rPr>
              <w:t>Tháng 12/2026</w:t>
            </w:r>
          </w:p>
        </w:tc>
        <w:tc>
          <w:tcPr>
            <w:tcW w:w="1904" w:type="dxa"/>
            <w:vAlign w:val="center"/>
          </w:tcPr>
          <w:p w:rsidR="00F50200" w:rsidRDefault="00F50200" w:rsidP="00F50200">
            <w:pPr>
              <w:jc w:val="both"/>
              <w:rPr>
                <w:bCs/>
                <w:iCs/>
                <w:sz w:val="26"/>
                <w:szCs w:val="26"/>
              </w:rPr>
            </w:pPr>
            <w:r>
              <w:rPr>
                <w:bCs/>
                <w:iCs/>
                <w:sz w:val="26"/>
                <w:szCs w:val="26"/>
              </w:rPr>
              <w:t xml:space="preserve">Tiêu chí 1.2 - Tiêu chí về khoa học, công nghệ </w:t>
            </w:r>
          </w:p>
        </w:tc>
        <w:tc>
          <w:tcPr>
            <w:tcW w:w="1710" w:type="dxa"/>
            <w:vAlign w:val="center"/>
          </w:tcPr>
          <w:p w:rsidR="00EF5E47" w:rsidRDefault="00EF5E47" w:rsidP="00EF5E47">
            <w:pPr>
              <w:jc w:val="both"/>
              <w:rPr>
                <w:sz w:val="24"/>
              </w:rPr>
            </w:pPr>
            <w:r>
              <w:rPr>
                <w:sz w:val="24"/>
              </w:rPr>
              <w:t>Bổ sung mới</w:t>
            </w:r>
          </w:p>
          <w:p w:rsidR="00F50200" w:rsidRDefault="00F50200" w:rsidP="00F50200">
            <w:pPr>
              <w:jc w:val="both"/>
              <w:rPr>
                <w:bCs/>
                <w:iCs/>
                <w:sz w:val="26"/>
                <w:szCs w:val="26"/>
              </w:rPr>
            </w:pPr>
            <w:r w:rsidRPr="00ED0DF3">
              <w:rPr>
                <w:sz w:val="24"/>
              </w:rPr>
              <w:t>Cần làm rõ, hoàn thiện thêm: Đề nghị làm rõ điều, khoản có vướng mắc, bất cập, không còn phù hợp và chủ trương cụ thể cần tiếp tục thể chế hóa</w:t>
            </w:r>
          </w:p>
        </w:tc>
      </w:tr>
      <w:tr w:rsidR="00552B42">
        <w:tc>
          <w:tcPr>
            <w:tcW w:w="959" w:type="dxa"/>
            <w:vAlign w:val="center"/>
          </w:tcPr>
          <w:p w:rsidR="00552B42" w:rsidRDefault="00552B42" w:rsidP="00552B42">
            <w:pPr>
              <w:jc w:val="center"/>
              <w:rPr>
                <w:bCs/>
                <w:iCs/>
                <w:sz w:val="26"/>
                <w:szCs w:val="26"/>
              </w:rPr>
            </w:pPr>
            <w:r>
              <w:rPr>
                <w:bCs/>
                <w:iCs/>
                <w:sz w:val="26"/>
                <w:szCs w:val="26"/>
              </w:rPr>
              <w:t>8.</w:t>
            </w:r>
          </w:p>
        </w:tc>
        <w:tc>
          <w:tcPr>
            <w:tcW w:w="1848" w:type="dxa"/>
            <w:vAlign w:val="center"/>
          </w:tcPr>
          <w:p w:rsidR="00552B42" w:rsidRDefault="00552B42" w:rsidP="00552B42">
            <w:pPr>
              <w:jc w:val="both"/>
              <w:rPr>
                <w:bCs/>
                <w:iCs/>
                <w:sz w:val="26"/>
                <w:szCs w:val="26"/>
              </w:rPr>
            </w:pPr>
            <w:r>
              <w:rPr>
                <w:bCs/>
                <w:iCs/>
                <w:sz w:val="26"/>
                <w:szCs w:val="26"/>
              </w:rPr>
              <w:t>Nghị quyết số 17/2023/NQ-HĐND ngày 29/09/2023 của HĐND tỉnh Đồng Nai Quy định về nguyên tắc, điều kiện, nội dung, hình thức, hồ sơ và mức hỗ trợ hoạt động chuyển giao, ứng dụng và đổi mới công nghệ trên địa bàn tỉnh Đồng Nai đến năm 2030</w:t>
            </w:r>
          </w:p>
        </w:tc>
        <w:tc>
          <w:tcPr>
            <w:tcW w:w="2121" w:type="dxa"/>
            <w:vAlign w:val="center"/>
          </w:tcPr>
          <w:p w:rsidR="00552B42" w:rsidRDefault="00552B42" w:rsidP="00552B42">
            <w:pPr>
              <w:jc w:val="both"/>
              <w:rPr>
                <w:bCs/>
                <w:iCs/>
                <w:sz w:val="26"/>
                <w:szCs w:val="26"/>
              </w:rPr>
            </w:pPr>
            <w:r>
              <w:rPr>
                <w:bCs/>
                <w:iCs/>
                <w:sz w:val="26"/>
                <w:szCs w:val="26"/>
              </w:rPr>
              <w:t xml:space="preserve">Luật sửa đổi, bổ sung một số điều của Luật chuyển giao công nghệ 2017; Nghị định số 101/2026/NĐ-CP ngày 31/3/2026 có quy định chính sách hỗ trợ, khuyến khích ứng dụng, đổi mới công nghệ; tuy nhiên chưa quy định cụ thể định mức hỗ trợ; Căn cứ khoản 4 Điều 8 Luật Ban hành văn bản quy phạm pháp luật, khi có sự thay đổi cơ bản về chính </w:t>
            </w:r>
            <w:r>
              <w:rPr>
                <w:bCs/>
                <w:iCs/>
                <w:sz w:val="26"/>
                <w:szCs w:val="26"/>
              </w:rPr>
              <w:lastRenderedPageBreak/>
              <w:t>sách, đối tượng và nội dung cần sửa đổi, bổ sung chiếm tỷ lệ lớn (trên 1/2 nội dung), cần ban hành xây dựng một Nghị quyết mới để thay thế Nghị định cũ nhằm đảm bảo tính hợp hiến, hợp pháp, thống nhất và đồng bộ với hệ thống pháp luật hiện hành</w:t>
            </w:r>
          </w:p>
        </w:tc>
        <w:tc>
          <w:tcPr>
            <w:tcW w:w="4003" w:type="dxa"/>
            <w:vAlign w:val="center"/>
          </w:tcPr>
          <w:p w:rsidR="00552B42" w:rsidRDefault="00552B42" w:rsidP="00552B42">
            <w:pPr>
              <w:jc w:val="both"/>
              <w:rPr>
                <w:bCs/>
                <w:iCs/>
                <w:sz w:val="26"/>
                <w:szCs w:val="26"/>
              </w:rPr>
            </w:pPr>
            <w:r>
              <w:rPr>
                <w:bCs/>
                <w:iCs/>
                <w:sz w:val="26"/>
                <w:szCs w:val="26"/>
              </w:rPr>
              <w:lastRenderedPageBreak/>
              <w:t xml:space="preserve">hiện nay các căn cứ pháp lý ban hành Nghị quyết số 17/2023/NQ-HĐND đã hết hiệu lực và được thay thế bằng các quy định mới, cụ thể: </w:t>
            </w:r>
            <w:r>
              <w:rPr>
                <w:bCs/>
                <w:iCs/>
                <w:sz w:val="26"/>
                <w:szCs w:val="26"/>
              </w:rPr>
              <w:br/>
              <w:t xml:space="preserve">Nghị quyết số 17/2023/NQ-HĐND được xây dựng dựa trên nền tảng của Luật Khoa học và Công nghệ năm 2013, Luật Chuyển giao công nghệ số 07/2017/QH14. Hiện nay, Quốc hội đã ban hành Luật Khoa học, Công nghệ và Đổi mới sáng tạo số 93/2025/QH15, thay thế Luật Khoa học và Công nghệ năm 2013; Luật Chuyển giao công nghệ số 115/2025/QH15 sửa đổi Luật Chuyển giao công nghệ số 07/2017/QH14. Cùng với đó, Chính phủ đã ban hành các Nghị định mới hướng dẫn thi hành các Luật mới ban hành; Trên cơ sở đó, Bộ Khoa học và Công nghệ cũng đã ban hành các </w:t>
            </w:r>
            <w:r>
              <w:rPr>
                <w:bCs/>
                <w:iCs/>
                <w:sz w:val="26"/>
                <w:szCs w:val="26"/>
              </w:rPr>
              <w:lastRenderedPageBreak/>
              <w:t>Thông tư mới quy định về trình tự, thủ tục quản lý triển khai nhiệm vụ.</w:t>
            </w:r>
            <w:r>
              <w:rPr>
                <w:bCs/>
                <w:iCs/>
                <w:sz w:val="26"/>
                <w:szCs w:val="26"/>
              </w:rPr>
              <w:br/>
              <w:t>Căn cứ khoản 4 Điều 8 Luật Ban hành văn bản quy phạm pháp luật, khi có sự thay đổi cơ bản về chính sách, đối tượng và nội dung cần sửa đổi, bổ sung chiếm tỷ lệ lớn (trên 1/2 nội dung), cần ban hành xây dựng một Nghị quyết mới để thay thế Nghị định cũ nhằm đảm bảo tính hợp hiến, hợp pháp, thống nhất và đồng bộ với hệ thống pháp luật hiện hành.</w:t>
            </w:r>
            <w:r>
              <w:rPr>
                <w:bCs/>
                <w:iCs/>
                <w:sz w:val="26"/>
                <w:szCs w:val="26"/>
              </w:rPr>
              <w:br/>
              <w:t>Do sắp xếp  chính quyền địa phương 02 cấp không còn phù hợp, do đó đề xuất thay thế.</w:t>
            </w:r>
          </w:p>
        </w:tc>
        <w:tc>
          <w:tcPr>
            <w:tcW w:w="1417" w:type="dxa"/>
            <w:vAlign w:val="center"/>
          </w:tcPr>
          <w:p w:rsidR="00552B42" w:rsidRDefault="00552B42" w:rsidP="00552B42">
            <w:pPr>
              <w:jc w:val="both"/>
              <w:rPr>
                <w:bCs/>
                <w:iCs/>
                <w:sz w:val="26"/>
                <w:szCs w:val="26"/>
              </w:rPr>
            </w:pPr>
            <w:r>
              <w:rPr>
                <w:bCs/>
                <w:iCs/>
                <w:sz w:val="26"/>
                <w:szCs w:val="26"/>
              </w:rPr>
              <w:lastRenderedPageBreak/>
              <w:t>Thay thế</w:t>
            </w:r>
          </w:p>
        </w:tc>
        <w:tc>
          <w:tcPr>
            <w:tcW w:w="1275" w:type="dxa"/>
            <w:vAlign w:val="center"/>
          </w:tcPr>
          <w:p w:rsidR="00552B42" w:rsidRDefault="00552B42" w:rsidP="00552B42">
            <w:pPr>
              <w:jc w:val="both"/>
              <w:rPr>
                <w:bCs/>
                <w:iCs/>
                <w:sz w:val="26"/>
                <w:szCs w:val="26"/>
              </w:rPr>
            </w:pPr>
            <w:r>
              <w:rPr>
                <w:bCs/>
                <w:iCs/>
                <w:sz w:val="26"/>
                <w:szCs w:val="26"/>
              </w:rPr>
              <w:t>Tháng 12/2026</w:t>
            </w:r>
          </w:p>
        </w:tc>
        <w:tc>
          <w:tcPr>
            <w:tcW w:w="1904" w:type="dxa"/>
            <w:vAlign w:val="center"/>
          </w:tcPr>
          <w:p w:rsidR="00552B42" w:rsidRDefault="00552B42" w:rsidP="00552B42">
            <w:pPr>
              <w:jc w:val="both"/>
              <w:rPr>
                <w:bCs/>
                <w:iCs/>
                <w:sz w:val="26"/>
                <w:szCs w:val="26"/>
              </w:rPr>
            </w:pPr>
            <w:r>
              <w:rPr>
                <w:bCs/>
                <w:iCs/>
                <w:sz w:val="26"/>
                <w:szCs w:val="26"/>
              </w:rPr>
              <w:t xml:space="preserve">Tiêu chí 1.2 - Tiêu chí về khoa học, công nghệ </w:t>
            </w:r>
          </w:p>
        </w:tc>
        <w:tc>
          <w:tcPr>
            <w:tcW w:w="1710" w:type="dxa"/>
            <w:vAlign w:val="center"/>
          </w:tcPr>
          <w:p w:rsidR="00EF5E47" w:rsidRDefault="00EF5E47" w:rsidP="00EF5E47">
            <w:pPr>
              <w:jc w:val="both"/>
              <w:rPr>
                <w:sz w:val="24"/>
              </w:rPr>
            </w:pPr>
            <w:r>
              <w:rPr>
                <w:sz w:val="24"/>
              </w:rPr>
              <w:t>Bổ sung mới</w:t>
            </w:r>
          </w:p>
          <w:p w:rsidR="00552B42" w:rsidRDefault="00552B42" w:rsidP="00552B42">
            <w:pPr>
              <w:jc w:val="both"/>
              <w:rPr>
                <w:bCs/>
                <w:iCs/>
                <w:sz w:val="26"/>
                <w:szCs w:val="26"/>
              </w:rPr>
            </w:pPr>
            <w:r w:rsidRPr="00ED0DF3">
              <w:rPr>
                <w:sz w:val="24"/>
              </w:rPr>
              <w:t>Cần làm rõ, hoàn thiện thêm: Đ</w:t>
            </w:r>
            <w:bookmarkStart w:id="1" w:name="_GoBack"/>
            <w:bookmarkEnd w:id="1"/>
            <w:r w:rsidRPr="00ED0DF3">
              <w:rPr>
                <w:sz w:val="24"/>
              </w:rPr>
              <w:t>ề nghị làm rõ điều, khoản có vướng mắc, bất cập, không còn phù hợp và chủ trương cụ thể cần tiếp tục thể chế hóa</w:t>
            </w:r>
          </w:p>
        </w:tc>
      </w:tr>
      <w:tr w:rsidR="00552B42">
        <w:tc>
          <w:tcPr>
            <w:tcW w:w="959" w:type="dxa"/>
            <w:vAlign w:val="center"/>
          </w:tcPr>
          <w:p w:rsidR="00552B42" w:rsidRDefault="00552B42" w:rsidP="00552B42">
            <w:pPr>
              <w:jc w:val="center"/>
              <w:rPr>
                <w:bCs/>
                <w:iCs/>
                <w:sz w:val="26"/>
                <w:szCs w:val="26"/>
              </w:rPr>
            </w:pPr>
            <w:r>
              <w:rPr>
                <w:bCs/>
                <w:iCs/>
                <w:sz w:val="26"/>
                <w:szCs w:val="26"/>
              </w:rPr>
              <w:t>9.</w:t>
            </w:r>
          </w:p>
        </w:tc>
        <w:tc>
          <w:tcPr>
            <w:tcW w:w="1848" w:type="dxa"/>
            <w:vAlign w:val="center"/>
          </w:tcPr>
          <w:p w:rsidR="00552B42" w:rsidRDefault="00552B42" w:rsidP="00552B42">
            <w:pPr>
              <w:jc w:val="both"/>
              <w:rPr>
                <w:bCs/>
                <w:iCs/>
                <w:sz w:val="26"/>
                <w:szCs w:val="26"/>
              </w:rPr>
            </w:pPr>
            <w:r>
              <w:rPr>
                <w:bCs/>
                <w:iCs/>
                <w:sz w:val="26"/>
                <w:szCs w:val="26"/>
              </w:rPr>
              <w:t xml:space="preserve">Nghị quyết số 30/2023/NQ-HĐND ngày 08/12/2023 của HĐND tỉnh Đồng Nai Ban hành quy định về nội dung, định mức xây dựng dự toán đối với nhiệm vụ khoa học và công nghệ có sử dụng ngân sách nhà nước </w:t>
            </w:r>
            <w:r>
              <w:rPr>
                <w:bCs/>
                <w:iCs/>
                <w:sz w:val="26"/>
                <w:szCs w:val="26"/>
              </w:rPr>
              <w:lastRenderedPageBreak/>
              <w:t>trên địa bàn tỉnh Đồng Nai</w:t>
            </w:r>
          </w:p>
        </w:tc>
        <w:tc>
          <w:tcPr>
            <w:tcW w:w="2121" w:type="dxa"/>
            <w:vAlign w:val="center"/>
          </w:tcPr>
          <w:p w:rsidR="00552B42" w:rsidRDefault="00552B42" w:rsidP="00552B42">
            <w:pPr>
              <w:jc w:val="both"/>
              <w:rPr>
                <w:bCs/>
                <w:iCs/>
                <w:sz w:val="26"/>
                <w:szCs w:val="26"/>
              </w:rPr>
            </w:pPr>
            <w:r>
              <w:rPr>
                <w:bCs/>
                <w:iCs/>
                <w:sz w:val="26"/>
                <w:szCs w:val="26"/>
              </w:rPr>
              <w:lastRenderedPageBreak/>
              <w:t xml:space="preserve">khoản 3 Điều 3 Thông tư số 39/2025/TT-BKHCN ngày 30/11/2025 của Bộ trưởng Bộ Khoa học và Công nghệ quy định chi tiết và hướng dẫn về lập dự toán, quản lý, sử dụng và quyết toán một số nội dung chi ngân sách nhà nước thực hiện nhiệm vụ khoa </w:t>
            </w:r>
            <w:r>
              <w:rPr>
                <w:bCs/>
                <w:iCs/>
                <w:sz w:val="26"/>
                <w:szCs w:val="26"/>
              </w:rPr>
              <w:lastRenderedPageBreak/>
              <w:t>học, công nghệ và đổi mới sáng tạo</w:t>
            </w:r>
          </w:p>
        </w:tc>
        <w:tc>
          <w:tcPr>
            <w:tcW w:w="4003" w:type="dxa"/>
            <w:vAlign w:val="center"/>
          </w:tcPr>
          <w:p w:rsidR="00552B42" w:rsidRDefault="00552B42" w:rsidP="00552B42">
            <w:pPr>
              <w:jc w:val="both"/>
              <w:rPr>
                <w:bCs/>
                <w:iCs/>
                <w:sz w:val="26"/>
                <w:szCs w:val="26"/>
              </w:rPr>
            </w:pPr>
            <w:r>
              <w:rPr>
                <w:bCs/>
                <w:iCs/>
                <w:sz w:val="26"/>
                <w:szCs w:val="26"/>
              </w:rPr>
              <w:lastRenderedPageBreak/>
              <w:t xml:space="preserve">Việc xây dựng Nghị quyết quy định nội dung và mức chi thực hiện chương trình, nhiệm vụ khoa học, công nghệ và đổi mới sáng tạo; hoạt động hỗ trợ sử dụng ngân sách nhà nước trên địa bàn thành phố Đồng Nai là cần thiết phù hợp với thẩm quyền của HĐND thành phố theo quy định tại điểm a khoản 1 Điều 21 Luật Ban hành văn bản quy phạm pháp luật số 64/2025/QH15 được sửa đổi, bổ sung bởi Luật số 87/2025/QH15; khoản 1, khoản 3, khoản 4, khoản 5 và khoản 6 Điều 6 Nghị định số 265/2025/NĐ-CP; khoản 3 Điều 3 Thông tư số </w:t>
            </w:r>
            <w:r>
              <w:rPr>
                <w:bCs/>
                <w:iCs/>
                <w:sz w:val="26"/>
                <w:szCs w:val="26"/>
              </w:rPr>
              <w:lastRenderedPageBreak/>
              <w:t>39/2025/TT-KHCN.</w:t>
            </w:r>
            <w:r>
              <w:rPr>
                <w:bCs/>
                <w:iCs/>
                <w:sz w:val="26"/>
                <w:szCs w:val="26"/>
              </w:rPr>
              <w:br/>
              <w:t>Do sắp xếp  chính quyền địa phương 02 cấp không còn phù hợp, do đó đề xuất thay thế.</w:t>
            </w:r>
          </w:p>
        </w:tc>
        <w:tc>
          <w:tcPr>
            <w:tcW w:w="1417" w:type="dxa"/>
            <w:vAlign w:val="center"/>
          </w:tcPr>
          <w:p w:rsidR="00552B42" w:rsidRDefault="00552B42" w:rsidP="00552B42">
            <w:pPr>
              <w:jc w:val="both"/>
              <w:rPr>
                <w:bCs/>
                <w:iCs/>
                <w:sz w:val="26"/>
                <w:szCs w:val="26"/>
              </w:rPr>
            </w:pPr>
            <w:r>
              <w:rPr>
                <w:bCs/>
                <w:iCs/>
                <w:sz w:val="26"/>
                <w:szCs w:val="26"/>
              </w:rPr>
              <w:lastRenderedPageBreak/>
              <w:t>Thay thế</w:t>
            </w:r>
          </w:p>
        </w:tc>
        <w:tc>
          <w:tcPr>
            <w:tcW w:w="1275" w:type="dxa"/>
            <w:vAlign w:val="center"/>
          </w:tcPr>
          <w:p w:rsidR="00552B42" w:rsidRDefault="00552B42" w:rsidP="00552B42">
            <w:pPr>
              <w:jc w:val="both"/>
              <w:rPr>
                <w:bCs/>
                <w:iCs/>
                <w:sz w:val="26"/>
                <w:szCs w:val="26"/>
              </w:rPr>
            </w:pPr>
            <w:r>
              <w:rPr>
                <w:bCs/>
                <w:iCs/>
                <w:sz w:val="26"/>
                <w:szCs w:val="26"/>
              </w:rPr>
              <w:t>Tháng 7/2026</w:t>
            </w:r>
          </w:p>
        </w:tc>
        <w:tc>
          <w:tcPr>
            <w:tcW w:w="1904" w:type="dxa"/>
            <w:vAlign w:val="center"/>
          </w:tcPr>
          <w:p w:rsidR="00552B42" w:rsidRDefault="00552B42" w:rsidP="00552B42">
            <w:pPr>
              <w:jc w:val="both"/>
              <w:rPr>
                <w:bCs/>
                <w:iCs/>
                <w:sz w:val="26"/>
                <w:szCs w:val="26"/>
              </w:rPr>
            </w:pPr>
            <w:r>
              <w:rPr>
                <w:bCs/>
                <w:iCs/>
                <w:sz w:val="26"/>
                <w:szCs w:val="26"/>
              </w:rPr>
              <w:t xml:space="preserve">Tiêu chí 1.2 - Tiêu chí về khoa học, công nghệ </w:t>
            </w:r>
          </w:p>
        </w:tc>
        <w:tc>
          <w:tcPr>
            <w:tcW w:w="1710" w:type="dxa"/>
            <w:vAlign w:val="center"/>
          </w:tcPr>
          <w:p w:rsidR="00552B42" w:rsidRDefault="00552B42" w:rsidP="00552B42">
            <w:pPr>
              <w:jc w:val="both"/>
              <w:rPr>
                <w:bCs/>
                <w:iCs/>
                <w:sz w:val="26"/>
                <w:szCs w:val="26"/>
              </w:rPr>
            </w:pPr>
            <w:r w:rsidRPr="00ED0DF3">
              <w:rPr>
                <w:sz w:val="24"/>
              </w:rPr>
              <w:t>Cần làm rõ, hoàn thiện thêm: Đề nghị làm rõ điều, khoản có vướng mắc, bất cập, không còn phù hợp và chủ trương cụ thể cần tiếp tục thể chế hóa</w:t>
            </w:r>
          </w:p>
        </w:tc>
      </w:tr>
      <w:tr w:rsidR="00552B42">
        <w:tc>
          <w:tcPr>
            <w:tcW w:w="959" w:type="dxa"/>
            <w:vAlign w:val="center"/>
          </w:tcPr>
          <w:p w:rsidR="00552B42" w:rsidRDefault="00552B42" w:rsidP="00552B42">
            <w:pPr>
              <w:jc w:val="center"/>
              <w:rPr>
                <w:bCs/>
                <w:iCs/>
                <w:sz w:val="26"/>
                <w:szCs w:val="26"/>
              </w:rPr>
            </w:pPr>
            <w:r>
              <w:rPr>
                <w:bCs/>
                <w:iCs/>
                <w:sz w:val="26"/>
                <w:szCs w:val="26"/>
              </w:rPr>
              <w:t>10.</w:t>
            </w:r>
          </w:p>
        </w:tc>
        <w:tc>
          <w:tcPr>
            <w:tcW w:w="1848" w:type="dxa"/>
            <w:vAlign w:val="center"/>
          </w:tcPr>
          <w:p w:rsidR="00552B42" w:rsidRDefault="00552B42" w:rsidP="00552B42">
            <w:pPr>
              <w:jc w:val="both"/>
              <w:rPr>
                <w:bCs/>
                <w:iCs/>
                <w:sz w:val="26"/>
                <w:szCs w:val="26"/>
              </w:rPr>
            </w:pPr>
            <w:r>
              <w:rPr>
                <w:bCs/>
                <w:iCs/>
                <w:sz w:val="26"/>
                <w:szCs w:val="26"/>
              </w:rPr>
              <w:t>Quyết định số 70/2009/QĐ-UBND ngày 29/09/2009 của UBND tỉnh Đồng Nai Quy định tổ chức, quản lý và sử dụng hộp thư điện tử trong các cơ quan Nhà nước của tỉnh Đồng Nai</w:t>
            </w:r>
          </w:p>
        </w:tc>
        <w:tc>
          <w:tcPr>
            <w:tcW w:w="2121" w:type="dxa"/>
            <w:vAlign w:val="center"/>
          </w:tcPr>
          <w:p w:rsidR="00552B42" w:rsidRDefault="00552B42" w:rsidP="00552B42">
            <w:pPr>
              <w:jc w:val="both"/>
              <w:rPr>
                <w:bCs/>
                <w:iCs/>
                <w:sz w:val="26"/>
                <w:szCs w:val="26"/>
              </w:rPr>
            </w:pPr>
            <w:r>
              <w:rPr>
                <w:bCs/>
                <w:iCs/>
                <w:sz w:val="26"/>
                <w:szCs w:val="26"/>
              </w:rPr>
              <w:t>Các căn cứ của Quyêt định 70/2029 đã hết hiệu lực:  Căn cứ Luật Tổ chức Hội đồng nhân dân và Ủy ban nhân dân ngày 26/11/2003; Căn cứ Luật Công nghệ Thông tin ngày 12 tháng 7 năm 2006; Căn cứ Chỉ thị số 34/2008/CT-TTg ngày 03/12/2008 của Thủ tướng Chính phủ về việc tăng cường sử dụng hệ thống thư điện tử trong hoạt động của cơ quan Nhà nước;</w:t>
            </w:r>
            <w:r>
              <w:rPr>
                <w:bCs/>
                <w:iCs/>
                <w:sz w:val="26"/>
                <w:szCs w:val="26"/>
              </w:rPr>
              <w:br/>
              <w:t xml:space="preserve">Căn cứ Quyết định số 76/2008/QĐ-UBND ngày 11/11/2008 của UBND tỉnh về </w:t>
            </w:r>
            <w:r>
              <w:rPr>
                <w:bCs/>
                <w:iCs/>
                <w:sz w:val="26"/>
                <w:szCs w:val="26"/>
              </w:rPr>
              <w:lastRenderedPageBreak/>
              <w:t>việc ban hành Quy định về tổ chức và hoạt động của Sở Thông tin và Truyền thông tỉnh Đồng Nai;</w:t>
            </w:r>
          </w:p>
        </w:tc>
        <w:tc>
          <w:tcPr>
            <w:tcW w:w="4003" w:type="dxa"/>
            <w:vAlign w:val="center"/>
          </w:tcPr>
          <w:p w:rsidR="00552B42" w:rsidRDefault="00552B42" w:rsidP="00552B42">
            <w:pPr>
              <w:jc w:val="both"/>
              <w:rPr>
                <w:bCs/>
                <w:iCs/>
                <w:sz w:val="26"/>
                <w:szCs w:val="26"/>
              </w:rPr>
            </w:pPr>
            <w:r>
              <w:rPr>
                <w:bCs/>
                <w:iCs/>
                <w:sz w:val="26"/>
                <w:szCs w:val="26"/>
              </w:rPr>
              <w:lastRenderedPageBreak/>
              <w:t>Căn cứ Nghị định số 147/2024/NĐ-CP ngày 09/11/2024 của Chính phủ Quản lý, cung cấp, sử dụng dịch vụ Internet và thông tin trên mạng;  Nghị định số 224/2026/NĐ-CP ngày 24/06/2026 của Chính phủ về quy định chi tiết một số điều và biện pháp thi hành Luật Chuyển đổi số;</w:t>
            </w:r>
            <w:r>
              <w:rPr>
                <w:bCs/>
                <w:iCs/>
                <w:sz w:val="26"/>
                <w:szCs w:val="26"/>
              </w:rPr>
              <w:br/>
              <w:t>1. Các thông tin của cơ quan, cá nhân và các thông tin liên quan đến việc trao đổi, gửi nhận qua Hệ thống thư điện tử công vụ phải được bảo mật, bảo đảm an toàn thông tin theo quy định của pháp luật.</w:t>
            </w:r>
            <w:r>
              <w:rPr>
                <w:bCs/>
                <w:iCs/>
                <w:sz w:val="26"/>
                <w:szCs w:val="26"/>
              </w:rPr>
              <w:br/>
              <w:t>2. Cơ quan, đơn vị và cá nhân sử dụng Hệ thống thư điện tử công vụ để trao đổi văn bản, hồ sơ, tài liệu dưới dạng điện tử; thông tin về quản lý, điều hành, phối hợp công tác và những thông tin khác liên quan đến hoạt động thực thi công vụ theo chức năng, nhiệm vụ được giao (trừ các văn bản, tài liệu thuộc danh mục bí mật nhà nước).</w:t>
            </w:r>
            <w:r>
              <w:rPr>
                <w:bCs/>
                <w:iCs/>
                <w:sz w:val="26"/>
                <w:szCs w:val="26"/>
              </w:rPr>
              <w:br/>
              <w:t xml:space="preserve">Quy chế được xây dựng trên cơ sở sử dụng hệ thống thư điện tử làm phương thức chủ yếu để trao đổi thông tin, gửi, nhận văn bản điện tử </w:t>
            </w:r>
            <w:r>
              <w:rPr>
                <w:bCs/>
                <w:iCs/>
                <w:sz w:val="26"/>
                <w:szCs w:val="26"/>
              </w:rPr>
              <w:lastRenderedPageBreak/>
              <w:t>(Điều 6). Trong khi đó, Luật Giao dịch điện tử năm 2023 đã thiết lập khuôn khổ pháp lý mới về giao dịch điện tử, thông điệp dữ liệu, hệ thống thông tin, định danh, xác thực điện tử. Hiện nay, việc trao đổi văn bản điện tử trong cơ quan nhà nước được thực hiện chủ yếu thông qua Hệ thống quản lý văn bản và điều hành, Trục liên thông văn bản quốc gia gắn với chữ ký số chuyên dùng công vụ. Do đó, nhiều quy định của Quy chế về quản lý, khai thác và sử dụng hệ thống thư điện tử không còn phù hợp với quy định pháp luật và thực tiễn hiện hành.</w:t>
            </w:r>
            <w:r>
              <w:rPr>
                <w:bCs/>
                <w:iCs/>
                <w:sz w:val="26"/>
                <w:szCs w:val="26"/>
              </w:rPr>
              <w:br/>
              <w:t>Do sắp xếp  chính quyền địa phương 02 cấp không còn phù hợp, do đó đề xuất thay thế.</w:t>
            </w:r>
          </w:p>
        </w:tc>
        <w:tc>
          <w:tcPr>
            <w:tcW w:w="1417" w:type="dxa"/>
            <w:vAlign w:val="center"/>
          </w:tcPr>
          <w:p w:rsidR="00552B42" w:rsidRDefault="00552B42" w:rsidP="00552B42">
            <w:pPr>
              <w:jc w:val="both"/>
              <w:rPr>
                <w:bCs/>
                <w:iCs/>
                <w:sz w:val="26"/>
                <w:szCs w:val="26"/>
              </w:rPr>
            </w:pPr>
            <w:r>
              <w:rPr>
                <w:bCs/>
                <w:iCs/>
                <w:sz w:val="26"/>
                <w:szCs w:val="26"/>
              </w:rPr>
              <w:lastRenderedPageBreak/>
              <w:t>Thay thế</w:t>
            </w:r>
          </w:p>
        </w:tc>
        <w:tc>
          <w:tcPr>
            <w:tcW w:w="1275" w:type="dxa"/>
            <w:vAlign w:val="center"/>
          </w:tcPr>
          <w:p w:rsidR="00552B42" w:rsidRDefault="00552B42" w:rsidP="00552B42">
            <w:pPr>
              <w:jc w:val="both"/>
              <w:rPr>
                <w:bCs/>
                <w:iCs/>
                <w:sz w:val="26"/>
                <w:szCs w:val="26"/>
              </w:rPr>
            </w:pPr>
            <w:r>
              <w:rPr>
                <w:bCs/>
                <w:iCs/>
                <w:sz w:val="26"/>
                <w:szCs w:val="26"/>
              </w:rPr>
              <w:t>Tháng 8/2026</w:t>
            </w:r>
          </w:p>
        </w:tc>
        <w:tc>
          <w:tcPr>
            <w:tcW w:w="1904" w:type="dxa"/>
            <w:vAlign w:val="center"/>
          </w:tcPr>
          <w:p w:rsidR="00552B42" w:rsidRDefault="00552B42" w:rsidP="00552B42">
            <w:pPr>
              <w:jc w:val="both"/>
              <w:rPr>
                <w:bCs/>
                <w:iCs/>
                <w:sz w:val="26"/>
                <w:szCs w:val="26"/>
              </w:rPr>
            </w:pPr>
            <w:r>
              <w:rPr>
                <w:bCs/>
                <w:iCs/>
                <w:sz w:val="26"/>
                <w:szCs w:val="26"/>
              </w:rPr>
              <w:t xml:space="preserve">Tiêu chí 1.2 - Tiêu chí về khoa học, công nghệ </w:t>
            </w:r>
          </w:p>
        </w:tc>
        <w:tc>
          <w:tcPr>
            <w:tcW w:w="1710" w:type="dxa"/>
            <w:vAlign w:val="center"/>
          </w:tcPr>
          <w:p w:rsidR="00552B42" w:rsidRDefault="00552B42" w:rsidP="00552B42">
            <w:pPr>
              <w:jc w:val="both"/>
              <w:rPr>
                <w:bCs/>
                <w:iCs/>
                <w:sz w:val="26"/>
                <w:szCs w:val="26"/>
              </w:rPr>
            </w:pPr>
            <w:r>
              <w:rPr>
                <w:sz w:val="24"/>
              </w:rPr>
              <w:t>Nhất trí</w:t>
            </w:r>
          </w:p>
          <w:p w:rsidR="00552B42" w:rsidRDefault="00552B42" w:rsidP="00552B42">
            <w:pPr>
              <w:rPr>
                <w:bCs/>
                <w:iCs/>
                <w:sz w:val="26"/>
                <w:szCs w:val="26"/>
              </w:rPr>
            </w:pPr>
          </w:p>
          <w:p w:rsidR="00552B42" w:rsidRDefault="00552B42" w:rsidP="00552B42">
            <w:pPr>
              <w:rPr>
                <w:bCs/>
                <w:iCs/>
                <w:sz w:val="26"/>
                <w:szCs w:val="26"/>
              </w:rPr>
            </w:pPr>
          </w:p>
          <w:p w:rsidR="00552B42" w:rsidRPr="00D60FE8" w:rsidRDefault="00552B42" w:rsidP="00552B42">
            <w:pPr>
              <w:rPr>
                <w:sz w:val="26"/>
                <w:szCs w:val="26"/>
              </w:rPr>
            </w:pPr>
          </w:p>
        </w:tc>
      </w:tr>
      <w:tr w:rsidR="00552B42">
        <w:tc>
          <w:tcPr>
            <w:tcW w:w="959" w:type="dxa"/>
            <w:vAlign w:val="center"/>
          </w:tcPr>
          <w:p w:rsidR="00552B42" w:rsidRDefault="00552B42" w:rsidP="00552B42">
            <w:pPr>
              <w:jc w:val="center"/>
              <w:rPr>
                <w:bCs/>
                <w:iCs/>
                <w:sz w:val="26"/>
                <w:szCs w:val="26"/>
              </w:rPr>
            </w:pPr>
            <w:r>
              <w:rPr>
                <w:bCs/>
                <w:iCs/>
                <w:sz w:val="26"/>
                <w:szCs w:val="26"/>
              </w:rPr>
              <w:t>11.</w:t>
            </w:r>
          </w:p>
        </w:tc>
        <w:tc>
          <w:tcPr>
            <w:tcW w:w="1848" w:type="dxa"/>
            <w:vAlign w:val="center"/>
          </w:tcPr>
          <w:p w:rsidR="00552B42" w:rsidRDefault="00552B42" w:rsidP="00552B42">
            <w:pPr>
              <w:jc w:val="both"/>
              <w:rPr>
                <w:bCs/>
                <w:iCs/>
                <w:sz w:val="26"/>
                <w:szCs w:val="26"/>
              </w:rPr>
            </w:pPr>
            <w:r>
              <w:rPr>
                <w:bCs/>
                <w:iCs/>
                <w:sz w:val="26"/>
                <w:szCs w:val="26"/>
              </w:rPr>
              <w:t>Quyết định số 64/2013/QĐ-UBND ngày 15/10/2013 của UBND tỉnh Đồng Nai Ban hành Quy chuẩn kỹ thuật địa phương đối với rượu bưởi Tân Triều trên địa bàn tỉnh Đồng Nai</w:t>
            </w:r>
          </w:p>
        </w:tc>
        <w:tc>
          <w:tcPr>
            <w:tcW w:w="2121" w:type="dxa"/>
            <w:vAlign w:val="center"/>
          </w:tcPr>
          <w:p w:rsidR="00552B42" w:rsidRDefault="00552B42" w:rsidP="00552B42">
            <w:pPr>
              <w:jc w:val="both"/>
              <w:rPr>
                <w:bCs/>
                <w:iCs/>
                <w:sz w:val="26"/>
                <w:szCs w:val="26"/>
              </w:rPr>
            </w:pPr>
            <w:r>
              <w:rPr>
                <w:bCs/>
                <w:iCs/>
                <w:sz w:val="26"/>
                <w:szCs w:val="26"/>
              </w:rPr>
              <w:t xml:space="preserve">'- Quyết định số 64/2013/QĐ-UBND được ban hành trên cơ sở Luật Tiêu chuẩn và Quy chuẩn kỹ thuật năm 2006, Nghị định số 127/2007/NĐ-CP và Thông tư số 23/2007/TT-BKHCN. Đến nay các văn bản này </w:t>
            </w:r>
            <w:r>
              <w:rPr>
                <w:bCs/>
                <w:iCs/>
                <w:sz w:val="26"/>
                <w:szCs w:val="26"/>
              </w:rPr>
              <w:lastRenderedPageBreak/>
              <w:t xml:space="preserve">đã được sửa đổi, thay thế bởi Luật số 70/2025/QH15, Nghị định số 22/2026/NĐ-CP và Thông tư của Bộ Khoa học và Công nghệ quy định về xây dựng, thẩm định và ban hành quy chuẩn kỹ thuật. </w:t>
            </w:r>
            <w:r>
              <w:rPr>
                <w:bCs/>
                <w:iCs/>
                <w:sz w:val="26"/>
                <w:szCs w:val="26"/>
              </w:rPr>
              <w:br/>
              <w:t xml:space="preserve">- Quyết định số 64/2013/QĐ-UBND được ban hành theo Luật Tổ chức HĐND và UBND năm 2003; đến nay hệ thống pháp luật về tổ chức chính quyền địa phương đã được thay thế, đồng thời cơ cấu tổ chức các cơ quan chuyên môn thuộc UBND cũng đã được sắp xếp, kiện toàn theo các Nghị quyết của Quốc hội và HĐND </w:t>
            </w:r>
            <w:r>
              <w:rPr>
                <w:bCs/>
                <w:iCs/>
                <w:sz w:val="26"/>
                <w:szCs w:val="26"/>
              </w:rPr>
              <w:lastRenderedPageBreak/>
              <w:t xml:space="preserve">tỉnh. </w:t>
            </w:r>
            <w:r>
              <w:rPr>
                <w:bCs/>
                <w:iCs/>
                <w:sz w:val="26"/>
                <w:szCs w:val="26"/>
              </w:rPr>
              <w:br/>
              <w:t>- Qua rà soát Quyết định số 64/2013/QĐ-UBND và QCĐP ban hành kèm theo cho thấy một số nội dung về căn cứ pháp lý, trình tự xây dựng, trách nhiệm quản lý nhà nước, tên cơ quan và viện dẫn quy định pháp luật không còn phù hợp với hệ thống pháp luật hiện hành, cần được sửa đổi, bổ sung để bảo đảm tính thống nhất và đồng bộ</w:t>
            </w:r>
          </w:p>
        </w:tc>
        <w:tc>
          <w:tcPr>
            <w:tcW w:w="4003" w:type="dxa"/>
            <w:vAlign w:val="center"/>
          </w:tcPr>
          <w:p w:rsidR="00552B42" w:rsidRDefault="00552B42" w:rsidP="00552B42">
            <w:pPr>
              <w:jc w:val="both"/>
              <w:rPr>
                <w:bCs/>
                <w:iCs/>
                <w:sz w:val="26"/>
                <w:szCs w:val="26"/>
              </w:rPr>
            </w:pPr>
            <w:r>
              <w:rPr>
                <w:bCs/>
                <w:iCs/>
                <w:sz w:val="26"/>
                <w:szCs w:val="26"/>
              </w:rPr>
              <w:lastRenderedPageBreak/>
              <w:t xml:space="preserve">Quyết định số 64/2013/QĐ-UBND được ban hành từ năm 2013 trên cơ sở hệ thống pháp luật về tiêu chuẩn, quy chuẩn kỹ thuật và tổ chức chính quyền địa phương đã hết hiệu lực hoặc được sửa đổi, bổ sung. Hiện nay Luật Tiêu chuẩn và Quy chuẩn kỹ thuật đã được sửa đổi, bổ sung; Chính phủ đã ban hành Nghị định số 22/2026/NĐ-CP quy định mới về trình tự, thủ tục xây dựng và ban hành quy chuẩn kỹ thuật; Bộ Khoa học và Công nghệ ban hành quy định </w:t>
            </w:r>
            <w:r>
              <w:rPr>
                <w:bCs/>
                <w:iCs/>
                <w:sz w:val="26"/>
                <w:szCs w:val="26"/>
              </w:rPr>
              <w:lastRenderedPageBreak/>
              <w:t xml:space="preserve">mới về xây dựng, thẩm định và ban hành quy chuẩn kỹ thuật. Các quy định này yêu cầu cập nhật hồ sơ, trình tự, trách nhiệm quản lý, công bố và tổ chức thực hiện quy chuẩn kỹ thuật địa phương. </w:t>
            </w:r>
            <w:r>
              <w:rPr>
                <w:bCs/>
                <w:iCs/>
                <w:sz w:val="26"/>
                <w:szCs w:val="26"/>
              </w:rPr>
              <w:br/>
              <w:t xml:space="preserve">Bên cạnh đó, việc sắp xếp tổ chức bộ máy và cơ quan chuyên môn thuộc UBND làm cho các quy định về cơ quan quản lý, cơ quan tổ chức thực hiện và viện dẫn căn cứ pháp lý trong Quyết định số 64/2013/QĐ-UBND không còn phù hợp với quy định hiện hành. </w:t>
            </w:r>
            <w:r>
              <w:rPr>
                <w:bCs/>
                <w:iCs/>
                <w:sz w:val="26"/>
                <w:szCs w:val="26"/>
              </w:rPr>
              <w:br/>
              <w:t>Vì vậy, cần ban hành Quyết định thay thế nhằm: cập nhật đầy đủ căn cứ pháp lý theo Luật số 70/2025/QH15 và các văn bản hướng dẫn thi hành; thể chế hóa quy định mới về trình tự xây dựng, thẩm định, ban hành và quản lý quy chuẩn kỹ thuật địa phương; cập nhật tên cơ quan, trách nhiệm quản lý nhà nước và cơ chế phối hợp theo tổ chức bộ máy hiện hành; rà soát, cập nhật các nội dung kỹ thuật của Quy chuẩn kỹ thuật địa phương đối với rượu bưởi Tân Triều phù hợp với yêu cầu quản lý chất lượng, an toàn thực phẩm và thực tiễn sản xuất, kinh doanh hiện nay.</w:t>
            </w:r>
          </w:p>
        </w:tc>
        <w:tc>
          <w:tcPr>
            <w:tcW w:w="1417" w:type="dxa"/>
            <w:vAlign w:val="center"/>
          </w:tcPr>
          <w:p w:rsidR="00552B42" w:rsidRDefault="00552B42" w:rsidP="00552B42">
            <w:pPr>
              <w:jc w:val="both"/>
              <w:rPr>
                <w:bCs/>
                <w:iCs/>
                <w:sz w:val="26"/>
                <w:szCs w:val="26"/>
              </w:rPr>
            </w:pPr>
            <w:r>
              <w:rPr>
                <w:bCs/>
                <w:iCs/>
                <w:sz w:val="26"/>
                <w:szCs w:val="26"/>
              </w:rPr>
              <w:lastRenderedPageBreak/>
              <w:t>Thay thế</w:t>
            </w:r>
          </w:p>
        </w:tc>
        <w:tc>
          <w:tcPr>
            <w:tcW w:w="1275" w:type="dxa"/>
            <w:vAlign w:val="center"/>
          </w:tcPr>
          <w:p w:rsidR="00552B42" w:rsidRDefault="00552B42" w:rsidP="00552B42">
            <w:pPr>
              <w:jc w:val="both"/>
              <w:rPr>
                <w:bCs/>
                <w:iCs/>
                <w:sz w:val="26"/>
                <w:szCs w:val="26"/>
              </w:rPr>
            </w:pPr>
            <w:r>
              <w:rPr>
                <w:bCs/>
                <w:iCs/>
                <w:sz w:val="26"/>
                <w:szCs w:val="26"/>
              </w:rPr>
              <w:t>Tháng 02/2027</w:t>
            </w:r>
          </w:p>
        </w:tc>
        <w:tc>
          <w:tcPr>
            <w:tcW w:w="1904" w:type="dxa"/>
            <w:vAlign w:val="center"/>
          </w:tcPr>
          <w:p w:rsidR="00552B42" w:rsidRDefault="00552B42" w:rsidP="00552B42">
            <w:pPr>
              <w:jc w:val="both"/>
              <w:rPr>
                <w:bCs/>
                <w:iCs/>
                <w:sz w:val="26"/>
                <w:szCs w:val="26"/>
              </w:rPr>
            </w:pPr>
            <w:r>
              <w:rPr>
                <w:bCs/>
                <w:iCs/>
                <w:sz w:val="26"/>
                <w:szCs w:val="26"/>
              </w:rPr>
              <w:t xml:space="preserve">Tiêu chí 1.2 - Tiêu chí về khoa học, công nghệ </w:t>
            </w:r>
          </w:p>
        </w:tc>
        <w:tc>
          <w:tcPr>
            <w:tcW w:w="1710" w:type="dxa"/>
            <w:vAlign w:val="center"/>
          </w:tcPr>
          <w:p w:rsidR="00552B42" w:rsidRDefault="00552B42" w:rsidP="00552B42">
            <w:pPr>
              <w:jc w:val="both"/>
              <w:rPr>
                <w:bCs/>
                <w:iCs/>
                <w:sz w:val="26"/>
                <w:szCs w:val="26"/>
              </w:rPr>
            </w:pPr>
            <w:r w:rsidRPr="00ED0DF3">
              <w:rPr>
                <w:sz w:val="24"/>
              </w:rPr>
              <w:t>Cần làm rõ, hoàn thiện thêm: Đề nghị làm rõ điều, khoản có vướng mắc, bất cập, không còn phù hợp và chủ trương cụ thể cần tiếp tục thể chế hóa</w:t>
            </w:r>
          </w:p>
        </w:tc>
      </w:tr>
      <w:tr w:rsidR="00552B42">
        <w:tc>
          <w:tcPr>
            <w:tcW w:w="959" w:type="dxa"/>
            <w:vAlign w:val="center"/>
          </w:tcPr>
          <w:p w:rsidR="00552B42" w:rsidRDefault="00552B42" w:rsidP="00552B42">
            <w:pPr>
              <w:jc w:val="center"/>
              <w:rPr>
                <w:bCs/>
                <w:iCs/>
                <w:sz w:val="26"/>
                <w:szCs w:val="26"/>
              </w:rPr>
            </w:pPr>
            <w:r>
              <w:rPr>
                <w:bCs/>
                <w:iCs/>
                <w:sz w:val="26"/>
                <w:szCs w:val="26"/>
              </w:rPr>
              <w:lastRenderedPageBreak/>
              <w:t>12.</w:t>
            </w:r>
          </w:p>
        </w:tc>
        <w:tc>
          <w:tcPr>
            <w:tcW w:w="1848" w:type="dxa"/>
            <w:vAlign w:val="center"/>
          </w:tcPr>
          <w:p w:rsidR="00552B42" w:rsidRDefault="00552B42" w:rsidP="00552B42">
            <w:pPr>
              <w:jc w:val="both"/>
              <w:rPr>
                <w:bCs/>
                <w:iCs/>
                <w:sz w:val="26"/>
                <w:szCs w:val="26"/>
              </w:rPr>
            </w:pPr>
            <w:r>
              <w:rPr>
                <w:bCs/>
                <w:iCs/>
                <w:sz w:val="26"/>
                <w:szCs w:val="26"/>
              </w:rPr>
              <w:t xml:space="preserve">Quyết định số 17/2019/QĐ-UBND ngày 28/05/2019 của UBND tỉnh Bình Phước Quy chuẩn kỹ thuật địa phương về hạt điều nguyên </w:t>
            </w:r>
            <w:r>
              <w:rPr>
                <w:bCs/>
                <w:iCs/>
                <w:sz w:val="26"/>
                <w:szCs w:val="26"/>
              </w:rPr>
              <w:lastRenderedPageBreak/>
              <w:t>liệu tỉnh Bình Phước</w:t>
            </w:r>
          </w:p>
        </w:tc>
        <w:tc>
          <w:tcPr>
            <w:tcW w:w="2121" w:type="dxa"/>
            <w:vAlign w:val="center"/>
          </w:tcPr>
          <w:p w:rsidR="00552B42" w:rsidRDefault="00552B42" w:rsidP="00552B42">
            <w:pPr>
              <w:jc w:val="both"/>
              <w:rPr>
                <w:bCs/>
                <w:iCs/>
                <w:sz w:val="26"/>
                <w:szCs w:val="26"/>
              </w:rPr>
            </w:pPr>
            <w:r>
              <w:rPr>
                <w:bCs/>
                <w:iCs/>
                <w:sz w:val="26"/>
                <w:szCs w:val="26"/>
              </w:rPr>
              <w:lastRenderedPageBreak/>
              <w:t xml:space="preserve">Quyết định số 17/2019/QĐ-UBND được ban hành trên cơ sở Luật Tiêu chuẩn và Quy chuẩn kỹ thuật năm 2006, Nghị định số 127/2007/NĐ-CP, Nghị định số </w:t>
            </w:r>
            <w:r>
              <w:rPr>
                <w:bCs/>
                <w:iCs/>
                <w:sz w:val="26"/>
                <w:szCs w:val="26"/>
              </w:rPr>
              <w:lastRenderedPageBreak/>
              <w:t xml:space="preserve">78/2018/NĐ-CP và Thông tư số 23/2007/TT-BKHCN. Đến nay các văn bản này đã được sửa đổi, thay thế bởi Luật số 70/2025/QH15, Nghị định số 22/2026/NĐ-CP và Thông tư của Bộ KH&amp;CN quy định về xây dựng, thẩm định và ban hành quy chuẩn kỹ thuật. </w:t>
            </w:r>
            <w:r>
              <w:rPr>
                <w:bCs/>
                <w:iCs/>
                <w:sz w:val="26"/>
                <w:szCs w:val="26"/>
              </w:rPr>
              <w:br/>
              <w:t>- Theo Nghị quyết về sắp xếp đơn vị hành chính cấp tỉnh năm 2025 và Nghị quyết số 30/2026/QH16, tỉnh Bình Phước đã hợp nhất với tỉnh Đồng Nai và hiện nay là thành phố Đồng Nai; do đó tên cơ quan, địa danh, phạm vi quản lý nhà nước trong Quyết định số 17/2019/QĐ-</w:t>
            </w:r>
            <w:r>
              <w:rPr>
                <w:bCs/>
                <w:iCs/>
                <w:sz w:val="26"/>
                <w:szCs w:val="26"/>
              </w:rPr>
              <w:lastRenderedPageBreak/>
              <w:t xml:space="preserve">UBND không còn phù hợp với tổ chức bộ máy và địa giới hành chính hiện hành. </w:t>
            </w:r>
            <w:r>
              <w:rPr>
                <w:bCs/>
                <w:iCs/>
                <w:sz w:val="26"/>
                <w:szCs w:val="26"/>
              </w:rPr>
              <w:br/>
              <w:t>- Qua rà soát Quyết định số 17/2019/QĐ-UBND cho thấy nhiều điều khoản quy định về phạm vi điều chỉnh, đối tượng áp dụng, ghi nhãn, công bố hợp quy, trách nhiệm quản lý của các cơ quan chuyên môn vẫn đang sử dụng tên địa phương, tên cơ quan và căn cứ pháp lý cũ nên cần được sửa đổi để bảo đảm tính thống nhất của hệ thống pháp luật</w:t>
            </w:r>
          </w:p>
        </w:tc>
        <w:tc>
          <w:tcPr>
            <w:tcW w:w="4003" w:type="dxa"/>
            <w:vAlign w:val="center"/>
          </w:tcPr>
          <w:p w:rsidR="00552B42" w:rsidRDefault="00552B42" w:rsidP="00552B42">
            <w:pPr>
              <w:jc w:val="both"/>
              <w:rPr>
                <w:bCs/>
                <w:iCs/>
                <w:sz w:val="26"/>
                <w:szCs w:val="26"/>
              </w:rPr>
            </w:pPr>
            <w:r>
              <w:rPr>
                <w:bCs/>
                <w:iCs/>
                <w:sz w:val="26"/>
                <w:szCs w:val="26"/>
              </w:rPr>
              <w:lastRenderedPageBreak/>
              <w:t xml:space="preserve">Quyết định số 17/2019/QĐ-UBND được ban hành trong bối cảnh pháp luật về tiêu chuẩn, quy chuẩn kỹ thuật và tổ chức chính quyền địa phương còn theo hệ thống quy định giai đoạn 2006-2019. Đến nay, Luật Tiêu chuẩn và Quy chuẩn kỹ thuật đã được sửa đổi, bổ sung; Chính phủ đã ban hành Nghị định số 22/2026/NĐ-CP quy định mới về trình tự, thủ tục </w:t>
            </w:r>
            <w:r>
              <w:rPr>
                <w:bCs/>
                <w:iCs/>
                <w:sz w:val="26"/>
                <w:szCs w:val="26"/>
              </w:rPr>
              <w:lastRenderedPageBreak/>
              <w:t xml:space="preserve">xây dựng, ban hành quy chuẩn kỹ thuật; Bộ KH&amp;CN ban hành quy định mới về xây dựng, thẩm định và ban hành quy chuẩn kỹ thuật. Các quy định này đặt ra yêu cầu cập nhật hồ sơ, trình tự, trách nhiệm quản lý, công bố và tổ chức thực hiện quy chuẩn kỹ thuật địa phương. </w:t>
            </w:r>
            <w:r>
              <w:rPr>
                <w:bCs/>
                <w:iCs/>
                <w:sz w:val="26"/>
                <w:szCs w:val="26"/>
              </w:rPr>
              <w:br/>
              <w:t xml:space="preserve">Đồng thời, việc sắp xếp đơn vị hành chính và thành lập thành phố Đồng Nai làm cho các quy định trong Quyết định số 17/2019/QĐ-UBND về tên địa phương, phạm vi áp dụng, cơ quan quản lý, cơ quan tiếp nhận công bố hợp quy và trách nhiệm của các cơ quan chuyên môn không còn phù hợp với tổ chức bộ máy hiện hành. </w:t>
            </w:r>
            <w:r>
              <w:rPr>
                <w:bCs/>
                <w:iCs/>
                <w:sz w:val="26"/>
                <w:szCs w:val="26"/>
              </w:rPr>
              <w:br/>
              <w:t xml:space="preserve">Vì vậy, cần ban hành Quyết định thay thế nhằm: cập nhật đầy đủ căn cứ pháp lý theo Luật số 70/2025/QH15 và các văn bản hướng dẫn mới; thể chế hóa quy định mới về xây dựng, ban hành và quản lý quy chuẩn kỹ thuật địa phương; cập nhật phạm vi áp dụng, tên địa danh, tên cơ quan quản lý, cơ quan tiếp nhận hồ sơ công bố hợp quy phù hợp mô hình chính quyền sau sắp xếp; rà soát, cập nhật các quy định về ghi nhãn, công bố hợp quy, trách nhiệm quản lý và viện dẫn tiêu chuẩn </w:t>
            </w:r>
            <w:r>
              <w:rPr>
                <w:bCs/>
                <w:iCs/>
                <w:sz w:val="26"/>
                <w:szCs w:val="26"/>
              </w:rPr>
              <w:lastRenderedPageBreak/>
              <w:t>theo quy định hiện hành để bảo đảm tính thống nhất, đồng bộ và thuận lợi trong tổ chức thực hiện.</w:t>
            </w:r>
          </w:p>
        </w:tc>
        <w:tc>
          <w:tcPr>
            <w:tcW w:w="1417" w:type="dxa"/>
            <w:vAlign w:val="center"/>
          </w:tcPr>
          <w:p w:rsidR="00552B42" w:rsidRDefault="00552B42" w:rsidP="00552B42">
            <w:pPr>
              <w:jc w:val="both"/>
              <w:rPr>
                <w:bCs/>
                <w:iCs/>
                <w:sz w:val="26"/>
                <w:szCs w:val="26"/>
              </w:rPr>
            </w:pPr>
            <w:r>
              <w:rPr>
                <w:bCs/>
                <w:iCs/>
                <w:sz w:val="26"/>
                <w:szCs w:val="26"/>
              </w:rPr>
              <w:lastRenderedPageBreak/>
              <w:t>Thay thế</w:t>
            </w:r>
          </w:p>
        </w:tc>
        <w:tc>
          <w:tcPr>
            <w:tcW w:w="1275" w:type="dxa"/>
            <w:vAlign w:val="center"/>
          </w:tcPr>
          <w:p w:rsidR="00552B42" w:rsidRDefault="00552B42" w:rsidP="00552B42">
            <w:pPr>
              <w:jc w:val="both"/>
              <w:rPr>
                <w:bCs/>
                <w:iCs/>
                <w:sz w:val="26"/>
                <w:szCs w:val="26"/>
              </w:rPr>
            </w:pPr>
            <w:r>
              <w:rPr>
                <w:bCs/>
                <w:iCs/>
                <w:sz w:val="26"/>
                <w:szCs w:val="26"/>
              </w:rPr>
              <w:t>tháng 02/2027</w:t>
            </w:r>
          </w:p>
        </w:tc>
        <w:tc>
          <w:tcPr>
            <w:tcW w:w="1904" w:type="dxa"/>
            <w:vAlign w:val="center"/>
          </w:tcPr>
          <w:p w:rsidR="00552B42" w:rsidRDefault="00552B42" w:rsidP="00552B42">
            <w:pPr>
              <w:jc w:val="both"/>
              <w:rPr>
                <w:bCs/>
                <w:iCs/>
                <w:sz w:val="26"/>
                <w:szCs w:val="26"/>
              </w:rPr>
            </w:pPr>
            <w:r>
              <w:rPr>
                <w:bCs/>
                <w:iCs/>
                <w:sz w:val="26"/>
                <w:szCs w:val="26"/>
              </w:rPr>
              <w:t xml:space="preserve">Tiêu chí 1.2 - Tiêu chí về khoa học, công nghệ </w:t>
            </w:r>
          </w:p>
        </w:tc>
        <w:tc>
          <w:tcPr>
            <w:tcW w:w="1710" w:type="dxa"/>
            <w:vAlign w:val="center"/>
          </w:tcPr>
          <w:p w:rsidR="00552B42" w:rsidRDefault="00552B42" w:rsidP="00552B42">
            <w:pPr>
              <w:jc w:val="both"/>
              <w:rPr>
                <w:bCs/>
                <w:iCs/>
                <w:sz w:val="26"/>
                <w:szCs w:val="26"/>
              </w:rPr>
            </w:pPr>
            <w:r w:rsidRPr="00ED0DF3">
              <w:rPr>
                <w:sz w:val="24"/>
              </w:rPr>
              <w:t>Cần làm rõ, hoàn thiện thêm: Đề nghị làm rõ điều, khoản có vướng mắc, bất cập, không còn phù hợp và chủ trương cụ thể cần tiếp tục thể chế hóa</w:t>
            </w:r>
          </w:p>
        </w:tc>
      </w:tr>
      <w:tr w:rsidR="00552B42">
        <w:tc>
          <w:tcPr>
            <w:tcW w:w="959" w:type="dxa"/>
            <w:vAlign w:val="center"/>
          </w:tcPr>
          <w:p w:rsidR="00552B42" w:rsidRDefault="00552B42" w:rsidP="00552B42">
            <w:pPr>
              <w:jc w:val="center"/>
              <w:rPr>
                <w:bCs/>
                <w:iCs/>
                <w:sz w:val="26"/>
                <w:szCs w:val="26"/>
              </w:rPr>
            </w:pPr>
            <w:r>
              <w:rPr>
                <w:bCs/>
                <w:iCs/>
                <w:sz w:val="26"/>
                <w:szCs w:val="26"/>
              </w:rPr>
              <w:lastRenderedPageBreak/>
              <w:t>13.</w:t>
            </w:r>
          </w:p>
        </w:tc>
        <w:tc>
          <w:tcPr>
            <w:tcW w:w="1848" w:type="dxa"/>
            <w:vAlign w:val="center"/>
          </w:tcPr>
          <w:p w:rsidR="00552B42" w:rsidRDefault="00552B42" w:rsidP="00552B42">
            <w:pPr>
              <w:jc w:val="both"/>
              <w:rPr>
                <w:bCs/>
                <w:iCs/>
                <w:sz w:val="26"/>
                <w:szCs w:val="26"/>
              </w:rPr>
            </w:pPr>
            <w:r>
              <w:rPr>
                <w:bCs/>
                <w:iCs/>
                <w:sz w:val="26"/>
                <w:szCs w:val="26"/>
              </w:rPr>
              <w:t xml:space="preserve">Quyết định số 40/2019/QĐ-UBND ngày 14/10/2019 của UBND tỉnh Đồng Nai Quy </w:t>
            </w:r>
            <w:r>
              <w:rPr>
                <w:bCs/>
                <w:iCs/>
                <w:sz w:val="26"/>
                <w:szCs w:val="26"/>
              </w:rPr>
              <w:lastRenderedPageBreak/>
              <w:t>chế quản lý vận hành và khai thác Trung tâm tích hợp dữ liệu tỉnh Đồng Nai</w:t>
            </w:r>
          </w:p>
        </w:tc>
        <w:tc>
          <w:tcPr>
            <w:tcW w:w="2121" w:type="dxa"/>
            <w:vAlign w:val="center"/>
          </w:tcPr>
          <w:p w:rsidR="00552B42" w:rsidRDefault="00552B42" w:rsidP="00552B42">
            <w:pPr>
              <w:jc w:val="both"/>
              <w:rPr>
                <w:bCs/>
                <w:iCs/>
                <w:sz w:val="26"/>
                <w:szCs w:val="26"/>
              </w:rPr>
            </w:pPr>
            <w:r>
              <w:rPr>
                <w:bCs/>
                <w:iCs/>
                <w:sz w:val="26"/>
                <w:szCs w:val="26"/>
              </w:rPr>
              <w:lastRenderedPageBreak/>
              <w:t xml:space="preserve">Các căn cứ ban hành Quyết định 40/2019/QĐ-UBND đã hết hiệu lực:luật Tổ chức chính quyền địa </w:t>
            </w:r>
            <w:r>
              <w:rPr>
                <w:bCs/>
                <w:iCs/>
                <w:sz w:val="26"/>
                <w:szCs w:val="26"/>
              </w:rPr>
              <w:lastRenderedPageBreak/>
              <w:t xml:space="preserve">phương ngày 19 tháng 6 năm 2015; Luật Ban hành văn bản quy phạm pháp luật ngày 22 tháng 6 năm 2015; Luật Giao dịch điện tử ngày 29 tháng 11 năm 2005; Luật Công nghệ thông tin ngày 29 tháng 6 năm 2006; Luật An toàn thông tin mạng ngày 19 tháng 11 năm 2015;Nghị định số 64/2007/NĐ-CP ngày 10 tháng 4 năm 2007 của Chính phủ về ứng dụng Công nghệ thông tin trong hoạt động của cơ quan nhà nước; Thông tư số 03/2013/TT-BTTTT ngày 22 tháng 01 năm 2013 của Bộ Trưởng Bộ Thông tin và Truyền </w:t>
            </w:r>
            <w:r>
              <w:rPr>
                <w:bCs/>
                <w:iCs/>
                <w:sz w:val="26"/>
                <w:szCs w:val="26"/>
              </w:rPr>
              <w:lastRenderedPageBreak/>
              <w:t>thông quy định áp dụng tiêu chuẩn, quy chuẩn kỹ thuật đối với Trung tâm dữ liệu.</w:t>
            </w:r>
          </w:p>
        </w:tc>
        <w:tc>
          <w:tcPr>
            <w:tcW w:w="4003" w:type="dxa"/>
            <w:vAlign w:val="center"/>
          </w:tcPr>
          <w:p w:rsidR="00552B42" w:rsidRDefault="00552B42" w:rsidP="00552B42">
            <w:pPr>
              <w:jc w:val="both"/>
              <w:rPr>
                <w:bCs/>
                <w:iCs/>
                <w:sz w:val="26"/>
                <w:szCs w:val="26"/>
              </w:rPr>
            </w:pPr>
            <w:r>
              <w:rPr>
                <w:bCs/>
                <w:iCs/>
                <w:sz w:val="26"/>
                <w:szCs w:val="26"/>
              </w:rPr>
              <w:lastRenderedPageBreak/>
              <w:t xml:space="preserve">Việc xây dựng Quyết định là cần thiết phù hợp với thẩm quyền của UBND thành  phố và phủ hợp với các Văn bản QPPL mới ban hành thay thế các văn bản hết hiệu lực: Luật Tổ chức chính quyền địa </w:t>
            </w:r>
            <w:r>
              <w:rPr>
                <w:bCs/>
                <w:iCs/>
                <w:sz w:val="26"/>
                <w:szCs w:val="26"/>
              </w:rPr>
              <w:lastRenderedPageBreak/>
              <w:t xml:space="preserve">phương số 72/2025/QH15; Luật Công nghệ thông tin số 67/2006/QH11; Luật An ninh mạng số 116/2025/QH15; Luật Chuyển đổi số 148/2025/QH15; Giao dịch điện tử số 20/2023/QH15;Luật Dữ liệu số 60/2024/QH15; Nghị định số 224/2026/NĐ-CР của Chính phủ: Quy định chi tiết một số điều và biện pháp thi hành Luật Chuyển đổi số; Nghị định số 85/2016/NĐ-CP ngày 01 tháng 7 năm 2016 của Chính phủ về bảo đảm an toàn hệ thống thông tin theo cấp độ;Nghị định số 53/2022/NĐ-CP ngày 15 tháng 8 năm 2022 của Chính phủ quy định chi tiết một số điều của Luật An ninh mạng; Nghị định số 165/2025/NĐ-CP ngày 30 tháng 6 năm 2025 của Chính phủ quy định chi tiết một số điều và biện pháp thi hành Luật Dữ liệu; Nghị định số 194/2025/NĐ-CP ngày 03 tháng 7 năm 2025 của Chính phủ quy định chi tiết một số điều của Luật Giao dịch điện tử về cơ sở dữ liệu quốc gia, kết nối và chia sẻ dữ liệu, dữ liệu mở phục vụ giao dịch điện tử của cơ quan nhà nước; Nghị định số 278/2025/NĐ-CP ngày 22 tháng 10 năm 2025 của Chính phủ quy định về kết nối, chia sẻ dữ liệu bắt buộc giữa các cơ quan thuộc hệ </w:t>
            </w:r>
            <w:r>
              <w:rPr>
                <w:bCs/>
                <w:iCs/>
                <w:sz w:val="26"/>
                <w:szCs w:val="26"/>
              </w:rPr>
              <w:lastRenderedPageBreak/>
              <w:t>thống chính trị; Quyết định số 33/2025/QĐ-TTg ngày 15 tháng 9 năm 2025 của Thủ tướng Chính phủ về Mạng truyền số liệu chuyên dùng phục vụ các cơ quan Đảng, Nhà nước; Thông tư số 12/2022/TT-BTTTT ngày 12 tháng 8 năm 2022 của Bộ trưởng Bộ Thông tin và Truyền thông quy định chi tiết và hướng dẫn một số điều của Nghị định số 85/2016/NĐ-CP ngày 01 tháng 7 năm 2016 của Chính phủ về bảo đảm an toàn hệ thống thông tin theo cấp độ;Thông tư số 42/2025/TT-BKHCN ngày 30 tháng 11 năm 2025 của Bộ trưởng Bộ Khoa học và Công nghệ quy định áp dụng tiêu chuẩn, quy chuẩn kỹ thuật đối với trung tâm dữ liệu;.</w:t>
            </w:r>
            <w:r>
              <w:rPr>
                <w:bCs/>
                <w:iCs/>
                <w:sz w:val="26"/>
                <w:szCs w:val="26"/>
              </w:rPr>
              <w:br/>
              <w:t>Hiện nay, tỉnh Đồng Nai cũ đã hợp nhất cùng tỉnh Bình Phước cũ và vận hành theo mô hình chính quyền địa phương 02 cấp nên quy chế này không còn phù hợp.</w:t>
            </w:r>
          </w:p>
        </w:tc>
        <w:tc>
          <w:tcPr>
            <w:tcW w:w="1417" w:type="dxa"/>
            <w:vAlign w:val="center"/>
          </w:tcPr>
          <w:p w:rsidR="00552B42" w:rsidRDefault="00552B42" w:rsidP="00552B42">
            <w:pPr>
              <w:jc w:val="both"/>
              <w:rPr>
                <w:bCs/>
                <w:iCs/>
                <w:sz w:val="26"/>
                <w:szCs w:val="26"/>
              </w:rPr>
            </w:pPr>
            <w:r>
              <w:rPr>
                <w:bCs/>
                <w:iCs/>
                <w:sz w:val="26"/>
                <w:szCs w:val="26"/>
              </w:rPr>
              <w:lastRenderedPageBreak/>
              <w:t>Thay thế</w:t>
            </w:r>
          </w:p>
        </w:tc>
        <w:tc>
          <w:tcPr>
            <w:tcW w:w="1275" w:type="dxa"/>
            <w:vAlign w:val="center"/>
          </w:tcPr>
          <w:p w:rsidR="00552B42" w:rsidRDefault="00552B42" w:rsidP="00552B42">
            <w:pPr>
              <w:jc w:val="both"/>
              <w:rPr>
                <w:bCs/>
                <w:iCs/>
                <w:sz w:val="26"/>
                <w:szCs w:val="26"/>
              </w:rPr>
            </w:pPr>
            <w:r>
              <w:rPr>
                <w:bCs/>
                <w:iCs/>
                <w:sz w:val="26"/>
                <w:szCs w:val="26"/>
              </w:rPr>
              <w:t>tháng 8/2026</w:t>
            </w:r>
          </w:p>
        </w:tc>
        <w:tc>
          <w:tcPr>
            <w:tcW w:w="1904" w:type="dxa"/>
            <w:vAlign w:val="center"/>
          </w:tcPr>
          <w:p w:rsidR="00552B42" w:rsidRDefault="00552B42" w:rsidP="00552B42">
            <w:pPr>
              <w:jc w:val="both"/>
              <w:rPr>
                <w:bCs/>
                <w:iCs/>
                <w:sz w:val="26"/>
                <w:szCs w:val="26"/>
              </w:rPr>
            </w:pPr>
            <w:r>
              <w:rPr>
                <w:bCs/>
                <w:iCs/>
                <w:sz w:val="26"/>
                <w:szCs w:val="26"/>
              </w:rPr>
              <w:t xml:space="preserve">Tiêu chí 1.2 - Tiêu chí về khoa học, công nghệ </w:t>
            </w:r>
          </w:p>
        </w:tc>
        <w:tc>
          <w:tcPr>
            <w:tcW w:w="1710" w:type="dxa"/>
            <w:vAlign w:val="center"/>
          </w:tcPr>
          <w:p w:rsidR="00552B42" w:rsidRDefault="00552B42" w:rsidP="00552B42">
            <w:pPr>
              <w:jc w:val="both"/>
              <w:rPr>
                <w:bCs/>
                <w:iCs/>
                <w:sz w:val="26"/>
                <w:szCs w:val="26"/>
              </w:rPr>
            </w:pPr>
            <w:r w:rsidRPr="00ED0DF3">
              <w:rPr>
                <w:sz w:val="24"/>
              </w:rPr>
              <w:t xml:space="preserve">Cần làm rõ, hoàn thiện thêm: Đề nghị làm rõ điều, khoản có vướng mắc, bất cập, không còn </w:t>
            </w:r>
            <w:r w:rsidRPr="00ED0DF3">
              <w:rPr>
                <w:sz w:val="24"/>
              </w:rPr>
              <w:lastRenderedPageBreak/>
              <w:t>phù hợp và chủ trương cụ thể cần tiếp tục thể chế hóa</w:t>
            </w:r>
          </w:p>
        </w:tc>
      </w:tr>
      <w:tr w:rsidR="00552B42">
        <w:tc>
          <w:tcPr>
            <w:tcW w:w="959" w:type="dxa"/>
            <w:vAlign w:val="center"/>
          </w:tcPr>
          <w:p w:rsidR="00552B42" w:rsidRDefault="00552B42" w:rsidP="00552B42">
            <w:pPr>
              <w:jc w:val="center"/>
              <w:rPr>
                <w:bCs/>
                <w:iCs/>
                <w:sz w:val="26"/>
                <w:szCs w:val="26"/>
              </w:rPr>
            </w:pPr>
            <w:r>
              <w:rPr>
                <w:bCs/>
                <w:iCs/>
                <w:sz w:val="26"/>
                <w:szCs w:val="26"/>
              </w:rPr>
              <w:lastRenderedPageBreak/>
              <w:t>14.</w:t>
            </w:r>
          </w:p>
        </w:tc>
        <w:tc>
          <w:tcPr>
            <w:tcW w:w="1848" w:type="dxa"/>
            <w:vAlign w:val="center"/>
          </w:tcPr>
          <w:p w:rsidR="00552B42" w:rsidRDefault="00552B42" w:rsidP="00552B42">
            <w:pPr>
              <w:jc w:val="both"/>
              <w:rPr>
                <w:bCs/>
                <w:iCs/>
                <w:sz w:val="26"/>
                <w:szCs w:val="26"/>
              </w:rPr>
            </w:pPr>
            <w:r>
              <w:rPr>
                <w:bCs/>
                <w:iCs/>
                <w:sz w:val="26"/>
                <w:szCs w:val="26"/>
              </w:rPr>
              <w:t xml:space="preserve">Quyết định số 31/2023/QĐ-UBND ngày 11/08/2023 của UBND tỉnh Đồng Nai Ban hành định mức kinh tế - kỹ </w:t>
            </w:r>
            <w:r>
              <w:rPr>
                <w:bCs/>
                <w:iCs/>
                <w:sz w:val="26"/>
                <w:szCs w:val="26"/>
              </w:rPr>
              <w:lastRenderedPageBreak/>
              <w:t>thuật dịch vụ sự nghiệp công thuộc lĩnh vực Công nghệ thông tin sử dụng ngân sách nhà nước trên địa bàn tỉnh Đồng Nai</w:t>
            </w:r>
          </w:p>
        </w:tc>
        <w:tc>
          <w:tcPr>
            <w:tcW w:w="2121" w:type="dxa"/>
            <w:vAlign w:val="center"/>
          </w:tcPr>
          <w:p w:rsidR="00552B42" w:rsidRDefault="00552B42" w:rsidP="00552B42">
            <w:pPr>
              <w:jc w:val="both"/>
              <w:rPr>
                <w:bCs/>
                <w:iCs/>
                <w:sz w:val="26"/>
                <w:szCs w:val="26"/>
              </w:rPr>
            </w:pPr>
            <w:r>
              <w:rPr>
                <w:bCs/>
                <w:iCs/>
                <w:sz w:val="26"/>
                <w:szCs w:val="26"/>
              </w:rPr>
              <w:lastRenderedPageBreak/>
              <w:t xml:space="preserve">Nghị định số 111/2025/NĐ-CP ngày 22/5/2025sửa đổi, bổ sung một số điều của Nghị định số 60/2021/NĐ-CP </w:t>
            </w:r>
            <w:r>
              <w:rPr>
                <w:bCs/>
                <w:iCs/>
                <w:sz w:val="26"/>
                <w:szCs w:val="26"/>
              </w:rPr>
              <w:lastRenderedPageBreak/>
              <w:t>ngày 21/6/2021 t quy định cơ chế tự chủ tài chính của đơn vị sự nghiệp công lập, các đơn vị sự nghiệp công lập phải từng bước nâng cao mức độ tự chủ tài chính. Theo đó, phương thức quản lý và cấp kinh phí từ ngân sách nhà nước cần được chuyển dần từ hình thức cấp kinh phí hoạt động sang các hình thức như giao nhiệm vụ, đặt hàng hoặc đấu thầu cung cấp dịch vụ sự nghiệp công theo quy định.</w:t>
            </w:r>
          </w:p>
        </w:tc>
        <w:tc>
          <w:tcPr>
            <w:tcW w:w="4003" w:type="dxa"/>
            <w:vAlign w:val="center"/>
          </w:tcPr>
          <w:p w:rsidR="00552B42" w:rsidRDefault="00552B42" w:rsidP="00552B42">
            <w:pPr>
              <w:jc w:val="both"/>
              <w:rPr>
                <w:bCs/>
                <w:iCs/>
                <w:sz w:val="26"/>
                <w:szCs w:val="26"/>
              </w:rPr>
            </w:pPr>
            <w:r>
              <w:rPr>
                <w:bCs/>
                <w:iCs/>
                <w:sz w:val="26"/>
                <w:szCs w:val="26"/>
              </w:rPr>
              <w:lastRenderedPageBreak/>
              <w:t xml:space="preserve">Trong qua quá trình triển khai thực tế và đối chiếu với xu hướng chuyển đổi số hiện nay, bộ định mức này hiện còn thiếu nhiều định mức quan trọng thuộc các lĩnh vực công nghệ mới như Trung tâm điều hành thông minh (IOC), Trí tuệ nhân tạo (AI), Internet vạn vật (IoT) và giám sát an </w:t>
            </w:r>
            <w:r>
              <w:rPr>
                <w:bCs/>
                <w:iCs/>
                <w:sz w:val="26"/>
                <w:szCs w:val="26"/>
              </w:rPr>
              <w:lastRenderedPageBreak/>
              <w:t>toàn thông tin chuyên sâu (SOC),…Do đó, việc xây dựng và ban hành định mức kinh tế - kỹ thuật phù hợp với điều kiện thực tế là cần thiết, nhằm cập nhật căn cứ pháp lý, bảo đảm phù hợp với quy định pháp luật hiện hành và đáp ứng yêu cầu quản lý nhà nước trong lĩnh vực công nghệ thông tin trên địa bàn thành phố.</w:t>
            </w:r>
            <w:r>
              <w:rPr>
                <w:bCs/>
                <w:iCs/>
                <w:sz w:val="26"/>
                <w:szCs w:val="26"/>
              </w:rPr>
              <w:br/>
              <w:t>Để triển khai các phương thức giao nhiệm vụ, đặt hàng hoặc đấu thầu cung cấp dịch vụ sự nghiệp công, cần phải xây dựng và ban hành đơn giá dịch vụ làm cơ sở cho việc lập dự toán, thanh toán và quyết toán kinh phí. Việc xác định đơn giá dịch vụ sự nghiệp công phải được xây dựng trên cơ sở các định mức kinh tế - kỹ thuật tương ứng trên cơ sở  Quyết định số 315/QĐ-UBND ngày 26/01/2026 của Ủy ban nhân dân tỉnh Đồng Nai về việc ban hành Danh mục dịch vụ sự nghiệp công sử dụng ngân sách nhà nước thuộc lĩnh vực khoa học và công nghệ.</w:t>
            </w:r>
          </w:p>
        </w:tc>
        <w:tc>
          <w:tcPr>
            <w:tcW w:w="1417" w:type="dxa"/>
            <w:vAlign w:val="center"/>
          </w:tcPr>
          <w:p w:rsidR="00552B42" w:rsidRDefault="00552B42" w:rsidP="00552B42">
            <w:pPr>
              <w:jc w:val="both"/>
              <w:rPr>
                <w:bCs/>
                <w:iCs/>
                <w:sz w:val="26"/>
                <w:szCs w:val="26"/>
              </w:rPr>
            </w:pPr>
            <w:r>
              <w:rPr>
                <w:bCs/>
                <w:iCs/>
                <w:sz w:val="26"/>
                <w:szCs w:val="26"/>
              </w:rPr>
              <w:lastRenderedPageBreak/>
              <w:t>Thay thế</w:t>
            </w:r>
          </w:p>
        </w:tc>
        <w:tc>
          <w:tcPr>
            <w:tcW w:w="1275" w:type="dxa"/>
            <w:vAlign w:val="center"/>
          </w:tcPr>
          <w:p w:rsidR="00552B42" w:rsidRDefault="00552B42" w:rsidP="00552B42">
            <w:pPr>
              <w:jc w:val="both"/>
              <w:rPr>
                <w:bCs/>
                <w:iCs/>
                <w:sz w:val="26"/>
                <w:szCs w:val="26"/>
              </w:rPr>
            </w:pPr>
            <w:r>
              <w:rPr>
                <w:bCs/>
                <w:iCs/>
                <w:sz w:val="26"/>
                <w:szCs w:val="26"/>
              </w:rPr>
              <w:t>tháng 12/2026</w:t>
            </w:r>
          </w:p>
        </w:tc>
        <w:tc>
          <w:tcPr>
            <w:tcW w:w="1904" w:type="dxa"/>
            <w:vAlign w:val="center"/>
          </w:tcPr>
          <w:p w:rsidR="00552B42" w:rsidRDefault="00552B42" w:rsidP="00552B42">
            <w:pPr>
              <w:jc w:val="both"/>
              <w:rPr>
                <w:bCs/>
                <w:iCs/>
                <w:sz w:val="26"/>
                <w:szCs w:val="26"/>
              </w:rPr>
            </w:pPr>
            <w:r>
              <w:rPr>
                <w:bCs/>
                <w:iCs/>
                <w:sz w:val="26"/>
                <w:szCs w:val="26"/>
              </w:rPr>
              <w:t xml:space="preserve">Tiêu chí 1.2 - Tiêu chí về khoa học, công nghệ </w:t>
            </w:r>
          </w:p>
        </w:tc>
        <w:tc>
          <w:tcPr>
            <w:tcW w:w="1710" w:type="dxa"/>
            <w:vAlign w:val="center"/>
          </w:tcPr>
          <w:p w:rsidR="00552B42" w:rsidRDefault="00552B42" w:rsidP="00552B42">
            <w:pPr>
              <w:jc w:val="both"/>
              <w:rPr>
                <w:bCs/>
                <w:iCs/>
                <w:sz w:val="26"/>
                <w:szCs w:val="26"/>
              </w:rPr>
            </w:pPr>
            <w:r>
              <w:rPr>
                <w:bCs/>
                <w:iCs/>
                <w:sz w:val="26"/>
                <w:szCs w:val="26"/>
              </w:rPr>
              <w:t>Nhất trí</w:t>
            </w:r>
          </w:p>
        </w:tc>
      </w:tr>
      <w:tr w:rsidR="00552B42">
        <w:tc>
          <w:tcPr>
            <w:tcW w:w="959" w:type="dxa"/>
            <w:vAlign w:val="center"/>
          </w:tcPr>
          <w:p w:rsidR="00552B42" w:rsidRDefault="00552B42" w:rsidP="00552B42">
            <w:pPr>
              <w:jc w:val="center"/>
              <w:rPr>
                <w:bCs/>
                <w:iCs/>
                <w:sz w:val="26"/>
                <w:szCs w:val="26"/>
              </w:rPr>
            </w:pPr>
            <w:r>
              <w:rPr>
                <w:bCs/>
                <w:iCs/>
                <w:sz w:val="26"/>
                <w:szCs w:val="26"/>
              </w:rPr>
              <w:t>15.</w:t>
            </w:r>
          </w:p>
        </w:tc>
        <w:tc>
          <w:tcPr>
            <w:tcW w:w="1848" w:type="dxa"/>
            <w:vAlign w:val="center"/>
          </w:tcPr>
          <w:p w:rsidR="00552B42" w:rsidRDefault="00552B42" w:rsidP="00552B42">
            <w:pPr>
              <w:jc w:val="both"/>
              <w:rPr>
                <w:bCs/>
                <w:iCs/>
                <w:sz w:val="26"/>
                <w:szCs w:val="26"/>
              </w:rPr>
            </w:pPr>
            <w:r>
              <w:rPr>
                <w:bCs/>
                <w:iCs/>
                <w:sz w:val="26"/>
                <w:szCs w:val="26"/>
              </w:rPr>
              <w:t xml:space="preserve">Quyết định số 48/2023/QĐ-UBND ngày 06/11/2023 của UBND tỉnh Đồng Nai Ban </w:t>
            </w:r>
            <w:r>
              <w:rPr>
                <w:bCs/>
                <w:iCs/>
                <w:sz w:val="26"/>
                <w:szCs w:val="26"/>
              </w:rPr>
              <w:lastRenderedPageBreak/>
              <w:t>hành quy định tiêu chí, tiêu chuẩn chất lương; cơ chế giám sát, đánh giá và nghiệm thu sản phẩm, dịch vụ công thuộc lĩnh vực khoa học và công nghệ tỉnh Đồng Nai</w:t>
            </w:r>
          </w:p>
        </w:tc>
        <w:tc>
          <w:tcPr>
            <w:tcW w:w="2121" w:type="dxa"/>
            <w:vAlign w:val="center"/>
          </w:tcPr>
          <w:p w:rsidR="00552B42" w:rsidRDefault="00552B42" w:rsidP="00552B42">
            <w:pPr>
              <w:jc w:val="both"/>
              <w:rPr>
                <w:bCs/>
                <w:iCs/>
                <w:sz w:val="26"/>
                <w:szCs w:val="26"/>
              </w:rPr>
            </w:pPr>
            <w:r>
              <w:rPr>
                <w:bCs/>
                <w:iCs/>
                <w:sz w:val="26"/>
                <w:szCs w:val="26"/>
              </w:rPr>
              <w:lastRenderedPageBreak/>
              <w:t xml:space="preserve">Thay đổi các căn cứ pháp lý: Luật Khoa học, công nghệ và đổi mới sáng tạo số 93/2025/QH15; </w:t>
            </w:r>
            <w:r>
              <w:rPr>
                <w:bCs/>
                <w:iCs/>
                <w:sz w:val="26"/>
                <w:szCs w:val="26"/>
              </w:rPr>
              <w:lastRenderedPageBreak/>
              <w:t>Luật Năng lượng nguyên tử số 94/2025/QH15.</w:t>
            </w:r>
            <w:r>
              <w:rPr>
                <w:bCs/>
                <w:iCs/>
                <w:sz w:val="26"/>
                <w:szCs w:val="26"/>
              </w:rPr>
              <w:br/>
              <w:t>Phạm vi điều chỉnh của quyết định số 48/2023/QĐ_UBND đã thay đổi (từ Nghị quyết số 35/NQ-HĐND ngày 22 tháng 9 năm 2022 của Hội đồng nhân dân tỉnh về danh mục dịch vụ sự nghiệp công sử dụng ngân sách nhà nước thuộc lĩnh vực khoa học và công nghệ trên địa bàn tỉnh Đồng Nai thành Quyết định số 315/QĐ-UBND ngày 26/01/2026 của Ủy ban nhân dân tỉnh</w:t>
            </w:r>
          </w:p>
        </w:tc>
        <w:tc>
          <w:tcPr>
            <w:tcW w:w="4003" w:type="dxa"/>
            <w:vAlign w:val="center"/>
          </w:tcPr>
          <w:p w:rsidR="00552B42" w:rsidRDefault="00552B42" w:rsidP="00552B42">
            <w:pPr>
              <w:jc w:val="both"/>
              <w:rPr>
                <w:bCs/>
                <w:iCs/>
                <w:sz w:val="26"/>
                <w:szCs w:val="26"/>
              </w:rPr>
            </w:pPr>
            <w:r>
              <w:rPr>
                <w:bCs/>
                <w:iCs/>
                <w:sz w:val="26"/>
                <w:szCs w:val="26"/>
              </w:rPr>
              <w:lastRenderedPageBreak/>
              <w:t xml:space="preserve">Việc xây dựng Quyết định Ban hành quy định tiêu chí, tiêu chuẩn chất lương; cơ chế giám sát, đánh giá và nghiệm thu sản phẩm, dịch vụ công thuộc lĩnh vực khoa học và công nghệ tỉnh Đồng Nai là cần thiết phù </w:t>
            </w:r>
            <w:r>
              <w:rPr>
                <w:bCs/>
                <w:iCs/>
                <w:sz w:val="26"/>
                <w:szCs w:val="26"/>
              </w:rPr>
              <w:lastRenderedPageBreak/>
              <w:t xml:space="preserve">hợp với thẩm quyền của Ủy ban nhân dân thành phố theo Căn cứ khoản 1, 2 Điều 28 Luật Ban hành văn bản quy phạm pháp luật giao Ủy ban nhân dân tỉnh ban hành quyết định để quy định “1. Chi tiết điều, khoản, điểm được giao trong văn bản quy phạm pháp luật của cơ quan nhà nước cấp trên”; “2. Biện pháp thi hành Hiến pháp, luật, văn bản của cơ quan nhà nước cấp trên, nghị quyết của Hội đồng nhân dân cùng cấp về phát triển kinh tế - xã hội, ngân sách, quốc phòng, an ninh ở địa phương”. </w:t>
            </w:r>
            <w:r>
              <w:rPr>
                <w:bCs/>
                <w:iCs/>
                <w:sz w:val="26"/>
                <w:szCs w:val="26"/>
              </w:rPr>
              <w:br/>
              <w:t>Ngày 21/6/2021, Chính phủ đã ban hành Nghị định số 60/2021/NĐ-CP quy định cơ chế tự chủ tài chính của đơn vị sự nghiệp công lập và có hiệu lực kể từ ngày 15/8/2021. Tại điểm b khoản 3 Điều 4 Chương I quy định thẩm quyền sửa đổi, bổ sung hoặc ban hành danh mục chi tiết dịch vụ sự nghiệp công sử dụng ngân sách nhà nước.</w:t>
            </w:r>
            <w:r>
              <w:rPr>
                <w:bCs/>
                <w:iCs/>
                <w:sz w:val="26"/>
                <w:szCs w:val="26"/>
              </w:rPr>
              <w:br/>
              <w:t>Do sắp xếp  chính quyền địa phương 02 cấp không còn phù hợp, do đó đề xuất thay thế.</w:t>
            </w:r>
          </w:p>
        </w:tc>
        <w:tc>
          <w:tcPr>
            <w:tcW w:w="1417" w:type="dxa"/>
            <w:vAlign w:val="center"/>
          </w:tcPr>
          <w:p w:rsidR="00552B42" w:rsidRDefault="00552B42" w:rsidP="00552B42">
            <w:pPr>
              <w:jc w:val="both"/>
              <w:rPr>
                <w:bCs/>
                <w:iCs/>
                <w:sz w:val="26"/>
                <w:szCs w:val="26"/>
              </w:rPr>
            </w:pPr>
            <w:r>
              <w:rPr>
                <w:bCs/>
                <w:iCs/>
                <w:sz w:val="26"/>
                <w:szCs w:val="26"/>
              </w:rPr>
              <w:lastRenderedPageBreak/>
              <w:t>Thay thế</w:t>
            </w:r>
          </w:p>
        </w:tc>
        <w:tc>
          <w:tcPr>
            <w:tcW w:w="1275" w:type="dxa"/>
            <w:vAlign w:val="center"/>
          </w:tcPr>
          <w:p w:rsidR="00552B42" w:rsidRDefault="00552B42" w:rsidP="00552B42">
            <w:pPr>
              <w:jc w:val="both"/>
              <w:rPr>
                <w:bCs/>
                <w:iCs/>
                <w:sz w:val="26"/>
                <w:szCs w:val="26"/>
              </w:rPr>
            </w:pPr>
            <w:r>
              <w:rPr>
                <w:bCs/>
                <w:iCs/>
                <w:sz w:val="26"/>
                <w:szCs w:val="26"/>
              </w:rPr>
              <w:t>tháng 12/2026</w:t>
            </w:r>
          </w:p>
        </w:tc>
        <w:tc>
          <w:tcPr>
            <w:tcW w:w="1904" w:type="dxa"/>
            <w:vAlign w:val="center"/>
          </w:tcPr>
          <w:p w:rsidR="00552B42" w:rsidRDefault="00552B42" w:rsidP="00552B42">
            <w:pPr>
              <w:jc w:val="both"/>
              <w:rPr>
                <w:bCs/>
                <w:iCs/>
                <w:sz w:val="26"/>
                <w:szCs w:val="26"/>
              </w:rPr>
            </w:pPr>
            <w:r>
              <w:rPr>
                <w:bCs/>
                <w:iCs/>
                <w:sz w:val="26"/>
                <w:szCs w:val="26"/>
              </w:rPr>
              <w:t xml:space="preserve">Tiêu chí 1.2 - Tiêu chí về khoa học, công nghệ </w:t>
            </w:r>
          </w:p>
        </w:tc>
        <w:tc>
          <w:tcPr>
            <w:tcW w:w="1710" w:type="dxa"/>
            <w:vAlign w:val="center"/>
          </w:tcPr>
          <w:p w:rsidR="00552B42" w:rsidRDefault="00552B42" w:rsidP="00552B42">
            <w:pPr>
              <w:jc w:val="both"/>
              <w:rPr>
                <w:bCs/>
                <w:iCs/>
                <w:sz w:val="26"/>
                <w:szCs w:val="26"/>
              </w:rPr>
            </w:pPr>
            <w:r>
              <w:rPr>
                <w:bCs/>
                <w:iCs/>
                <w:sz w:val="26"/>
                <w:szCs w:val="26"/>
              </w:rPr>
              <w:t>Nhất trí</w:t>
            </w:r>
          </w:p>
        </w:tc>
      </w:tr>
      <w:tr w:rsidR="00552B42">
        <w:tc>
          <w:tcPr>
            <w:tcW w:w="959" w:type="dxa"/>
            <w:vAlign w:val="center"/>
          </w:tcPr>
          <w:p w:rsidR="00552B42" w:rsidRDefault="00552B42" w:rsidP="00552B42">
            <w:pPr>
              <w:jc w:val="center"/>
              <w:rPr>
                <w:bCs/>
                <w:iCs/>
                <w:sz w:val="26"/>
                <w:szCs w:val="26"/>
              </w:rPr>
            </w:pPr>
            <w:r>
              <w:rPr>
                <w:bCs/>
                <w:iCs/>
                <w:sz w:val="26"/>
                <w:szCs w:val="26"/>
              </w:rPr>
              <w:t>16.</w:t>
            </w:r>
          </w:p>
        </w:tc>
        <w:tc>
          <w:tcPr>
            <w:tcW w:w="1848" w:type="dxa"/>
            <w:vAlign w:val="center"/>
          </w:tcPr>
          <w:p w:rsidR="00552B42" w:rsidRDefault="00552B42" w:rsidP="00552B42">
            <w:pPr>
              <w:jc w:val="both"/>
              <w:rPr>
                <w:bCs/>
                <w:iCs/>
                <w:sz w:val="26"/>
                <w:szCs w:val="26"/>
              </w:rPr>
            </w:pPr>
            <w:r>
              <w:rPr>
                <w:bCs/>
                <w:iCs/>
                <w:sz w:val="26"/>
                <w:szCs w:val="26"/>
              </w:rPr>
              <w:t xml:space="preserve">Quyết định số 23/2024/QĐ-UBND ngày 12/06/2024 của UBND tỉnh </w:t>
            </w:r>
            <w:r>
              <w:rPr>
                <w:bCs/>
                <w:iCs/>
                <w:sz w:val="26"/>
                <w:szCs w:val="26"/>
              </w:rPr>
              <w:lastRenderedPageBreak/>
              <w:t>Đồng Nai Ban hành định mức kinh tế - kỹ thuật hoạt động quan trắc phóng xạ môi trường thuộc lĩnh vực Khoa học và Công nghệ tỉnh Đồng Nai</w:t>
            </w:r>
          </w:p>
        </w:tc>
        <w:tc>
          <w:tcPr>
            <w:tcW w:w="2121" w:type="dxa"/>
            <w:vAlign w:val="center"/>
          </w:tcPr>
          <w:p w:rsidR="00552B42" w:rsidRDefault="00552B42" w:rsidP="00552B42">
            <w:pPr>
              <w:jc w:val="both"/>
              <w:rPr>
                <w:bCs/>
                <w:iCs/>
                <w:sz w:val="26"/>
                <w:szCs w:val="26"/>
              </w:rPr>
            </w:pPr>
            <w:r>
              <w:rPr>
                <w:bCs/>
                <w:iCs/>
                <w:sz w:val="26"/>
                <w:szCs w:val="26"/>
              </w:rPr>
              <w:lastRenderedPageBreak/>
              <w:t xml:space="preserve">Căn cứ Nghị định số 111/2025/NĐ-CP Sửa đổi, bổ sung một số điều của Nghị định số </w:t>
            </w:r>
            <w:r>
              <w:rPr>
                <w:bCs/>
                <w:iCs/>
                <w:sz w:val="26"/>
                <w:szCs w:val="26"/>
              </w:rPr>
              <w:lastRenderedPageBreak/>
              <w:t>60/2021/NĐ-CP ngày 21 tháng 6 năm 2021 của Chính phủ quy định cơ chế tự chủ tài chính của đơn vị sự nghiệp công lập</w:t>
            </w:r>
          </w:p>
        </w:tc>
        <w:tc>
          <w:tcPr>
            <w:tcW w:w="4003" w:type="dxa"/>
            <w:vAlign w:val="center"/>
          </w:tcPr>
          <w:p w:rsidR="00552B42" w:rsidRDefault="00552B42" w:rsidP="00552B42">
            <w:pPr>
              <w:jc w:val="both"/>
              <w:rPr>
                <w:bCs/>
                <w:iCs/>
                <w:sz w:val="26"/>
                <w:szCs w:val="26"/>
              </w:rPr>
            </w:pPr>
            <w:r>
              <w:rPr>
                <w:bCs/>
                <w:iCs/>
                <w:sz w:val="26"/>
                <w:szCs w:val="26"/>
              </w:rPr>
              <w:lastRenderedPageBreak/>
              <w:t xml:space="preserve">Căn cứ khoản 2 Điều 3 Nghị định số 111/2025/NĐ-CP của Chính phủ Sửa đổi, bổ sung một số điều của Nghị định số 60/2021/NĐ-CP ngày 21 tháng 6 năm 2021 của Chính phủ </w:t>
            </w:r>
            <w:r>
              <w:rPr>
                <w:bCs/>
                <w:iCs/>
                <w:sz w:val="26"/>
                <w:szCs w:val="26"/>
              </w:rPr>
              <w:lastRenderedPageBreak/>
              <w:t xml:space="preserve">quy định cơ chế tự chủ tài chính của đơn vị sự nghiệp công lập:, quy định: 2. Sửa đổi nội dung điểm b khoản 2 Điều 26 Nghị định số 32/2019/NĐ-CP ngày 10 tháng 4 năm 2019 của Chính phủ quy định giao nhiệm vụ, đặt hàng hoặc đấu thầu cung cấp sản phẩm, dịch vụ công sử dụng ngân sách nhà nước từ nguồn kinh phí chi thường xuyên thành “b) Căn cứ định mức kinh tế - kỹ thuật, định mức chi phí (nếu có) của các lĩnh vực đã được các bộ, cơ quan trung ương ban hành để áp dụng làm cơ sở ban hành giá dịch vụ sự nghiệp công sử dụng ngân sách nhà nước theo quy định của pháp luật về giá và quy định pháp luật khác có liên quan để làm cơ sở đặt hàng hoặc đấu thầu cung ứng dịch vụ sự nghiệp công theo quy định tại Nghị định này. Trường hợp đối với những danh mục dịch vụ sự nghiệp công sử dụng ngân sách nhà nước các bộ, cơ quan trung ương không ban hành định mức kinh tế kỹ thuật thì Ủy ban nhân dân cấp tỉnh có trách nhiệm ban hành đối với các dịch vụ sự nghiệp công sử dụng ngân sách nhà nước thuộc phạm vi quản lý để thực hiện tại địa phương”. Theo đó, Thông tư số 20/2017/TT-BTNMT ngày 08/8/2017 của Bộ </w:t>
            </w:r>
            <w:r>
              <w:rPr>
                <w:bCs/>
                <w:iCs/>
                <w:sz w:val="26"/>
                <w:szCs w:val="26"/>
              </w:rPr>
              <w:lastRenderedPageBreak/>
              <w:t>trưởng Bộ Tài nguyên và Môi trường quy định định mức kinh tế - kỹ thuật hoạt động quan trắc môi trường, trong đó đã bao gồm định mức kinh tế - kỹ thuật đối với hoạt động quan trắc phóng xạ môi trường.</w:t>
            </w:r>
          </w:p>
        </w:tc>
        <w:tc>
          <w:tcPr>
            <w:tcW w:w="1417" w:type="dxa"/>
            <w:vAlign w:val="center"/>
          </w:tcPr>
          <w:p w:rsidR="00552B42" w:rsidRDefault="00552B42" w:rsidP="00552B42">
            <w:pPr>
              <w:jc w:val="both"/>
              <w:rPr>
                <w:bCs/>
                <w:iCs/>
                <w:sz w:val="26"/>
                <w:szCs w:val="26"/>
              </w:rPr>
            </w:pPr>
            <w:r>
              <w:rPr>
                <w:bCs/>
                <w:iCs/>
                <w:sz w:val="26"/>
                <w:szCs w:val="26"/>
              </w:rPr>
              <w:lastRenderedPageBreak/>
              <w:t>Thay thế</w:t>
            </w:r>
          </w:p>
        </w:tc>
        <w:tc>
          <w:tcPr>
            <w:tcW w:w="1275" w:type="dxa"/>
            <w:vAlign w:val="center"/>
          </w:tcPr>
          <w:p w:rsidR="00552B42" w:rsidRDefault="00552B42" w:rsidP="00552B42">
            <w:pPr>
              <w:jc w:val="both"/>
              <w:rPr>
                <w:bCs/>
                <w:iCs/>
                <w:sz w:val="26"/>
                <w:szCs w:val="26"/>
              </w:rPr>
            </w:pPr>
            <w:r>
              <w:rPr>
                <w:bCs/>
                <w:iCs/>
                <w:sz w:val="26"/>
                <w:szCs w:val="26"/>
              </w:rPr>
              <w:t>tháng 12/2026</w:t>
            </w:r>
          </w:p>
        </w:tc>
        <w:tc>
          <w:tcPr>
            <w:tcW w:w="1904" w:type="dxa"/>
            <w:vAlign w:val="center"/>
          </w:tcPr>
          <w:p w:rsidR="00552B42" w:rsidRDefault="00552B42" w:rsidP="00552B42">
            <w:pPr>
              <w:jc w:val="both"/>
              <w:rPr>
                <w:bCs/>
                <w:iCs/>
                <w:sz w:val="26"/>
                <w:szCs w:val="26"/>
              </w:rPr>
            </w:pPr>
            <w:r>
              <w:rPr>
                <w:bCs/>
                <w:iCs/>
                <w:sz w:val="26"/>
                <w:szCs w:val="26"/>
              </w:rPr>
              <w:t xml:space="preserve">Tiêu chí 1.2 - Tiêu chí về khoa học, công nghệ </w:t>
            </w:r>
          </w:p>
        </w:tc>
        <w:tc>
          <w:tcPr>
            <w:tcW w:w="1710" w:type="dxa"/>
            <w:vAlign w:val="center"/>
          </w:tcPr>
          <w:p w:rsidR="00552B42" w:rsidRDefault="00552B42" w:rsidP="00552B42">
            <w:pPr>
              <w:jc w:val="both"/>
              <w:rPr>
                <w:bCs/>
                <w:iCs/>
                <w:sz w:val="26"/>
                <w:szCs w:val="26"/>
              </w:rPr>
            </w:pPr>
            <w:r w:rsidRPr="00ED0DF3">
              <w:rPr>
                <w:b/>
                <w:bCs/>
                <w:sz w:val="24"/>
              </w:rPr>
              <w:t>Không nhất trí</w:t>
            </w:r>
            <w:r w:rsidRPr="00ED0DF3">
              <w:rPr>
                <w:sz w:val="24"/>
              </w:rPr>
              <w:t xml:space="preserve">: Cơ sở rà soát và nội dung phân tích chưa thể hiện đã rà soát và </w:t>
            </w:r>
            <w:r w:rsidRPr="00ED0DF3">
              <w:rPr>
                <w:sz w:val="24"/>
              </w:rPr>
              <w:lastRenderedPageBreak/>
              <w:t>phát hiện nội dung vướng mắc, bất cập liên quan đến chủ trương, đường lối của Đảng về đột phá phát triển KH,CN,ĐMST&amp;CĐS</w:t>
            </w:r>
          </w:p>
        </w:tc>
      </w:tr>
      <w:tr w:rsidR="00552B42" w:rsidRPr="007E433C" w:rsidTr="00793FD5">
        <w:tc>
          <w:tcPr>
            <w:tcW w:w="15237" w:type="dxa"/>
            <w:gridSpan w:val="8"/>
            <w:shd w:val="clear" w:color="auto" w:fill="F7CAAC" w:themeFill="accent2" w:themeFillTint="66"/>
            <w:vAlign w:val="center"/>
          </w:tcPr>
          <w:p w:rsidR="00552B42" w:rsidRPr="0013765E" w:rsidRDefault="00552B42" w:rsidP="00552B42">
            <w:pPr>
              <w:spacing w:before="120" w:after="120"/>
              <w:jc w:val="center"/>
              <w:rPr>
                <w:bCs/>
                <w:iCs/>
                <w:sz w:val="26"/>
                <w:szCs w:val="26"/>
              </w:rPr>
            </w:pPr>
            <w:r>
              <w:rPr>
                <w:b/>
                <w:sz w:val="26"/>
                <w:szCs w:val="26"/>
              </w:rPr>
              <w:lastRenderedPageBreak/>
              <w:t>Tổng số VB đề xuất xử lý: 16 văn bản</w:t>
            </w:r>
          </w:p>
        </w:tc>
      </w:tr>
    </w:tbl>
    <w:p w:rsidR="00A34F3D" w:rsidRPr="00885AC8" w:rsidRDefault="00A34F3D" w:rsidP="00865F69">
      <w:pPr>
        <w:jc w:val="center"/>
        <w:rPr>
          <w:b/>
          <w:i/>
          <w:iCs/>
          <w:sz w:val="26"/>
          <w:szCs w:val="26"/>
        </w:rPr>
      </w:pPr>
    </w:p>
    <w:p w:rsidR="00694D35" w:rsidRDefault="00694D35" w:rsidP="00694D35">
      <w:pPr>
        <w:shd w:val="clear" w:color="auto" w:fill="FFFFFF"/>
        <w:spacing w:before="120" w:after="120" w:line="360" w:lineRule="exact"/>
        <w:jc w:val="both"/>
        <w:rPr>
          <w:b/>
          <w:bCs/>
          <w:szCs w:val="28"/>
        </w:rPr>
      </w:pPr>
      <w:r w:rsidRPr="007E433C">
        <w:rPr>
          <w:b/>
          <w:bCs/>
          <w:szCs w:val="28"/>
        </w:rPr>
        <w:t>CÁC THÔNG TIN ĐIỀN TRONG PHỤ LỤC:</w:t>
      </w:r>
    </w:p>
    <w:p w:rsidR="009A560E" w:rsidRPr="009A560E" w:rsidRDefault="009A560E" w:rsidP="009A560E">
      <w:pPr>
        <w:shd w:val="clear" w:color="auto" w:fill="FFFFFF"/>
        <w:spacing w:before="120" w:after="120" w:line="360" w:lineRule="exact"/>
        <w:jc w:val="both"/>
        <w:rPr>
          <w:szCs w:val="28"/>
        </w:rPr>
      </w:pPr>
      <w:r w:rsidRPr="009A560E">
        <w:rPr>
          <w:b/>
          <w:i/>
          <w:szCs w:val="28"/>
        </w:rPr>
        <w:t>- Cơ quan rà soát:</w:t>
      </w:r>
      <w:r w:rsidRPr="009A560E">
        <w:rPr>
          <w:szCs w:val="28"/>
        </w:rPr>
        <w:t xml:space="preserve"> Điền tên</w:t>
      </w:r>
      <w:r w:rsidRPr="009A560E">
        <w:rPr>
          <w:szCs w:val="28"/>
          <w:lang w:val="vi-VN"/>
        </w:rPr>
        <w:t xml:space="preserve"> của</w:t>
      </w:r>
      <w:r w:rsidRPr="009A560E">
        <w:rPr>
          <w:szCs w:val="28"/>
        </w:rPr>
        <w:t xml:space="preserve"> cơ quan rà soát (Ví dụ: UBND thành phố Hà Nội, UBND tỉnh Quảng Ninh).</w:t>
      </w:r>
    </w:p>
    <w:p w:rsidR="009A560E" w:rsidRPr="009A560E" w:rsidRDefault="009A560E" w:rsidP="009A560E">
      <w:pPr>
        <w:shd w:val="clear" w:color="auto" w:fill="FFFFFF"/>
        <w:spacing w:before="120" w:after="120" w:line="360" w:lineRule="exact"/>
        <w:jc w:val="both"/>
        <w:rPr>
          <w:szCs w:val="28"/>
        </w:rPr>
      </w:pPr>
      <w:r w:rsidRPr="009A560E">
        <w:rPr>
          <w:b/>
          <w:bCs/>
          <w:i/>
          <w:iCs/>
          <w:szCs w:val="28"/>
        </w:rPr>
        <w:t>- Cột (2):</w:t>
      </w:r>
      <w:r w:rsidRPr="009A560E">
        <w:rPr>
          <w:szCs w:val="28"/>
        </w:rPr>
        <w:t xml:space="preserve"> </w:t>
      </w:r>
    </w:p>
    <w:p w:rsidR="009A560E" w:rsidRPr="009A560E" w:rsidRDefault="009A560E" w:rsidP="009A560E">
      <w:pPr>
        <w:shd w:val="clear" w:color="auto" w:fill="FFFFFF"/>
        <w:spacing w:before="120" w:after="120" w:line="360" w:lineRule="exact"/>
        <w:ind w:firstLine="567"/>
        <w:jc w:val="both"/>
        <w:rPr>
          <w:szCs w:val="28"/>
          <w:lang w:val="vi-VN"/>
        </w:rPr>
      </w:pPr>
      <w:r w:rsidRPr="009A560E">
        <w:rPr>
          <w:szCs w:val="28"/>
        </w:rPr>
        <w:t>+ Điền tên văn bản được rà soát (</w:t>
      </w:r>
      <w:r w:rsidRPr="009A560E">
        <w:rPr>
          <w:szCs w:val="28"/>
          <w:lang w:val="vi-VN"/>
        </w:rPr>
        <w:t xml:space="preserve">Ghi rõ </w:t>
      </w:r>
      <w:r w:rsidRPr="009A560E">
        <w:rPr>
          <w:szCs w:val="28"/>
        </w:rPr>
        <w:t>tên loại; số, ký hiệu; ngày, tháng, năm ban hành; tên cơ quan ban hành; trích yếu văn bản)</w:t>
      </w:r>
      <w:r w:rsidRPr="009A560E">
        <w:rPr>
          <w:szCs w:val="28"/>
          <w:lang w:val="vi-VN"/>
        </w:rPr>
        <w:t xml:space="preserve">. </w:t>
      </w:r>
      <w:r w:rsidRPr="00902930">
        <w:rPr>
          <w:szCs w:val="28"/>
          <w:lang w:val="vi-VN"/>
        </w:rPr>
        <w:t>Trường hợp văn bản được rà soát đã được sửa đổi, bổ sung, bãi bỏ một phần thì ngay sau trích yếu văn bản ghi: “(đã được sửa đổi, bổ sung)”.</w:t>
      </w:r>
    </w:p>
    <w:p w:rsidR="009A560E" w:rsidRPr="00902930" w:rsidRDefault="009A560E" w:rsidP="009A560E">
      <w:pPr>
        <w:shd w:val="clear" w:color="auto" w:fill="FFFFFF"/>
        <w:spacing w:before="120" w:after="120" w:line="360" w:lineRule="exact"/>
        <w:ind w:firstLine="567"/>
        <w:jc w:val="both"/>
        <w:rPr>
          <w:szCs w:val="28"/>
          <w:lang w:val="vi-VN"/>
        </w:rPr>
      </w:pPr>
      <w:r w:rsidRPr="00902930">
        <w:rPr>
          <w:szCs w:val="28"/>
          <w:lang w:val="vi-VN"/>
        </w:rPr>
        <w:t xml:space="preserve">Ví dụ: </w:t>
      </w:r>
      <w:r w:rsidRPr="00902930">
        <w:rPr>
          <w:szCs w:val="28"/>
          <w:shd w:val="clear" w:color="auto" w:fill="FFFFFF"/>
          <w:lang w:val="vi-VN"/>
        </w:rPr>
        <w:t>Quyết định số </w:t>
      </w:r>
      <w:hyperlink r:id="rId10" w:tgtFrame="_blank" w:history="1">
        <w:r w:rsidRPr="00902930">
          <w:rPr>
            <w:szCs w:val="28"/>
            <w:bdr w:val="none" w:sz="0" w:space="0" w:color="auto" w:frame="1"/>
            <w:shd w:val="clear" w:color="auto" w:fill="FFFFFF"/>
            <w:lang w:val="vi-VN"/>
          </w:rPr>
          <w:t>33/2025/QĐ-UBND</w:t>
        </w:r>
      </w:hyperlink>
      <w:r w:rsidRPr="00902930">
        <w:rPr>
          <w:szCs w:val="28"/>
          <w:shd w:val="clear" w:color="auto" w:fill="FFFFFF"/>
          <w:lang w:val="vi-VN"/>
        </w:rPr>
        <w:t> ngày 21/4/2025 của UBND thành phố Hà Nội về việc ban hành khung giá dịch vụ quản lý vận hành nhà chung cư trên địa bàn thành phố Hà Nội</w:t>
      </w:r>
      <w:r w:rsidRPr="00902930">
        <w:rPr>
          <w:szCs w:val="28"/>
          <w:lang w:val="vi-VN"/>
        </w:rPr>
        <w:t xml:space="preserve"> (đã được sửa đổi, bổ sung).</w:t>
      </w:r>
    </w:p>
    <w:p w:rsidR="009A560E" w:rsidRPr="00902930" w:rsidRDefault="009A560E" w:rsidP="009A560E">
      <w:pPr>
        <w:shd w:val="clear" w:color="auto" w:fill="FFFFFF"/>
        <w:spacing w:before="120" w:after="120" w:line="360" w:lineRule="exact"/>
        <w:ind w:firstLine="567"/>
        <w:jc w:val="both"/>
        <w:rPr>
          <w:szCs w:val="28"/>
          <w:lang w:val="vi-VN"/>
        </w:rPr>
      </w:pPr>
      <w:r w:rsidRPr="00902930">
        <w:rPr>
          <w:szCs w:val="28"/>
          <w:lang w:val="vi-VN"/>
        </w:rPr>
        <w:t xml:space="preserve">+ Các VBQPPL trong cùng 01 lĩnh vực được sắp xếp theo tiêu chí: (i) </w:t>
      </w:r>
      <w:r w:rsidRPr="00902930">
        <w:rPr>
          <w:bCs/>
          <w:iCs/>
          <w:szCs w:val="28"/>
          <w:lang w:val="vi-VN"/>
        </w:rPr>
        <w:t xml:space="preserve">Văn bản có hiệu lực pháp lý cao hơn đến văn bản có hiệu lực pháp lý thấp hơn; (ii) </w:t>
      </w:r>
      <w:r w:rsidRPr="00902930">
        <w:rPr>
          <w:szCs w:val="28"/>
          <w:lang w:val="vi-VN"/>
        </w:rPr>
        <w:t>Thời gian ban hành văn bản (cùng hình thức</w:t>
      </w:r>
      <w:r w:rsidRPr="009A560E">
        <w:rPr>
          <w:szCs w:val="28"/>
          <w:lang w:val="vi-VN"/>
        </w:rPr>
        <w:t xml:space="preserve"> văn bản</w:t>
      </w:r>
      <w:r w:rsidRPr="00902930">
        <w:rPr>
          <w:szCs w:val="28"/>
          <w:lang w:val="vi-VN"/>
        </w:rPr>
        <w:t>) từ văn bản được ban hành trước đến văn bản được ban hành sau.</w:t>
      </w:r>
    </w:p>
    <w:p w:rsidR="009A560E" w:rsidRPr="00902930" w:rsidRDefault="009A560E" w:rsidP="009A560E">
      <w:pPr>
        <w:shd w:val="clear" w:color="auto" w:fill="FFFFFF"/>
        <w:spacing w:before="120" w:after="120" w:line="360" w:lineRule="exact"/>
        <w:jc w:val="both"/>
        <w:rPr>
          <w:szCs w:val="28"/>
          <w:lang w:val="vi-VN"/>
        </w:rPr>
      </w:pPr>
      <w:r w:rsidRPr="00902930">
        <w:rPr>
          <w:b/>
          <w:bCs/>
          <w:i/>
          <w:iCs/>
          <w:szCs w:val="28"/>
          <w:lang w:val="vi-VN"/>
        </w:rPr>
        <w:t>- Cột (3):</w:t>
      </w:r>
      <w:r w:rsidRPr="00902930">
        <w:rPr>
          <w:szCs w:val="28"/>
          <w:lang w:val="vi-VN"/>
        </w:rPr>
        <w:t xml:space="preserve"> Điền căn cứ rà soát cho từng nội dung, quy định của văn bản cần phải xử lý. Căn cứ rà soát theo hướng dẫn tại Mục VI.3 Tài liệu hướng dẫn, trong đó, ghi rõ thông tin về tên văn bản, tài liệu là căn cứ rà soát (nếu có).</w:t>
      </w:r>
    </w:p>
    <w:p w:rsidR="009A560E" w:rsidRPr="00902930" w:rsidRDefault="009A560E" w:rsidP="009A560E">
      <w:pPr>
        <w:shd w:val="clear" w:color="auto" w:fill="FFFFFF"/>
        <w:spacing w:before="120" w:after="120" w:line="360" w:lineRule="exact"/>
        <w:jc w:val="both"/>
        <w:rPr>
          <w:b/>
          <w:bCs/>
          <w:i/>
          <w:iCs/>
          <w:szCs w:val="28"/>
          <w:lang w:val="vi-VN"/>
        </w:rPr>
      </w:pPr>
      <w:r w:rsidRPr="00902930">
        <w:rPr>
          <w:b/>
          <w:bCs/>
          <w:i/>
          <w:iCs/>
          <w:szCs w:val="28"/>
          <w:lang w:val="vi-VN"/>
        </w:rPr>
        <w:t xml:space="preserve">- Cột (4): </w:t>
      </w:r>
      <w:r w:rsidRPr="00902930">
        <w:rPr>
          <w:szCs w:val="28"/>
          <w:lang w:val="vi-VN"/>
        </w:rPr>
        <w:t>Điền nội dung phân tích các nội dung, quy định của văn bản cần phải xử lý sau khi đối chiếu với các căn cứ rà soát theo các tiêu chí rà soát (được hướng dẫn tại Mục VI.4 Tài liệu hướng dẫn)</w:t>
      </w:r>
      <w:r w:rsidRPr="009A560E">
        <w:rPr>
          <w:szCs w:val="28"/>
          <w:lang w:val="vi-VN"/>
        </w:rPr>
        <w:t xml:space="preserve">. </w:t>
      </w:r>
      <w:r w:rsidRPr="00902930">
        <w:rPr>
          <w:szCs w:val="28"/>
          <w:lang w:val="vi-VN"/>
        </w:rPr>
        <w:t>Mỗi nội dung, quy định của văn bản được rà soát được điền tại 01 dòng khác nhau.</w:t>
      </w:r>
    </w:p>
    <w:p w:rsidR="009A560E" w:rsidRPr="00902930" w:rsidRDefault="009A560E" w:rsidP="009A560E">
      <w:pPr>
        <w:shd w:val="clear" w:color="auto" w:fill="FFFFFF"/>
        <w:spacing w:before="120" w:after="120" w:line="360" w:lineRule="exact"/>
        <w:jc w:val="both"/>
        <w:rPr>
          <w:b/>
          <w:szCs w:val="28"/>
          <w:lang w:val="vi-VN"/>
        </w:rPr>
      </w:pPr>
      <w:r w:rsidRPr="00902930">
        <w:rPr>
          <w:b/>
          <w:bCs/>
          <w:i/>
          <w:iCs/>
          <w:szCs w:val="28"/>
          <w:lang w:val="vi-VN"/>
        </w:rPr>
        <w:t xml:space="preserve">- Cột (5): </w:t>
      </w:r>
      <w:r w:rsidRPr="00902930">
        <w:rPr>
          <w:szCs w:val="28"/>
          <w:lang w:val="vi-VN"/>
        </w:rPr>
        <w:t>Điền một trong các hình thức xử lý văn bản</w:t>
      </w:r>
      <w:r w:rsidRPr="00902930">
        <w:rPr>
          <w:b/>
          <w:szCs w:val="28"/>
          <w:lang w:val="vi-VN"/>
        </w:rPr>
        <w:t xml:space="preserve"> </w:t>
      </w:r>
      <w:r w:rsidRPr="00902930">
        <w:rPr>
          <w:szCs w:val="28"/>
          <w:lang w:val="vi-VN"/>
        </w:rPr>
        <w:t xml:space="preserve">được rà soát gồm: </w:t>
      </w:r>
      <w:r w:rsidRPr="00902930">
        <w:rPr>
          <w:b/>
          <w:szCs w:val="28"/>
          <w:lang w:val="vi-VN"/>
        </w:rPr>
        <w:t>bãi bỏ một phần; thay thế; sửa đổi, bổ sung.</w:t>
      </w:r>
    </w:p>
    <w:p w:rsidR="009A560E" w:rsidRPr="00902930" w:rsidRDefault="009A560E" w:rsidP="009A560E">
      <w:pPr>
        <w:shd w:val="clear" w:color="auto" w:fill="FFFFFF"/>
        <w:spacing w:before="120" w:after="120" w:line="360" w:lineRule="exact"/>
        <w:jc w:val="both"/>
        <w:rPr>
          <w:szCs w:val="28"/>
          <w:lang w:val="vi-VN"/>
        </w:rPr>
      </w:pPr>
      <w:r w:rsidRPr="00902930">
        <w:rPr>
          <w:b/>
          <w:bCs/>
          <w:i/>
          <w:iCs/>
          <w:szCs w:val="28"/>
          <w:lang w:val="vi-VN"/>
        </w:rPr>
        <w:lastRenderedPageBreak/>
        <w:t xml:space="preserve">- Cột (6): </w:t>
      </w:r>
      <w:r w:rsidRPr="00902930">
        <w:rPr>
          <w:szCs w:val="28"/>
          <w:lang w:val="vi-VN"/>
        </w:rPr>
        <w:t>Điền lộ trình xử lý.</w:t>
      </w:r>
    </w:p>
    <w:p w:rsidR="009A560E" w:rsidRPr="009A560E" w:rsidRDefault="009A560E" w:rsidP="009A560E">
      <w:pPr>
        <w:shd w:val="clear" w:color="auto" w:fill="FFFFFF"/>
        <w:spacing w:before="120" w:after="120" w:line="360" w:lineRule="exact"/>
        <w:jc w:val="both"/>
        <w:rPr>
          <w:spacing w:val="-4"/>
          <w:szCs w:val="28"/>
          <w:lang w:val="nl-NL"/>
        </w:rPr>
      </w:pPr>
      <w:r w:rsidRPr="00902930">
        <w:rPr>
          <w:b/>
          <w:bCs/>
          <w:i/>
          <w:iCs/>
          <w:spacing w:val="-4"/>
          <w:szCs w:val="28"/>
          <w:lang w:val="vi-VN"/>
        </w:rPr>
        <w:t xml:space="preserve">- Cột (7): </w:t>
      </w:r>
      <w:r w:rsidRPr="00902930">
        <w:rPr>
          <w:spacing w:val="-4"/>
          <w:szCs w:val="28"/>
          <w:lang w:val="vi-VN"/>
        </w:rPr>
        <w:t>Điền tiêu chí rà soát tương ứng với từng nội dung, quy định của văn bản được rà soát cần phải xử lý</w:t>
      </w:r>
      <w:r w:rsidRPr="009A560E">
        <w:rPr>
          <w:spacing w:val="-4"/>
          <w:szCs w:val="28"/>
          <w:lang w:val="vi-VN"/>
        </w:rPr>
        <w:t>.</w:t>
      </w:r>
      <w:r w:rsidRPr="00902930">
        <w:rPr>
          <w:spacing w:val="-4"/>
          <w:szCs w:val="28"/>
          <w:lang w:val="vi-VN"/>
        </w:rPr>
        <w:t xml:space="preserve"> (Ví dụ: </w:t>
      </w:r>
      <w:r w:rsidRPr="009A560E">
        <w:rPr>
          <w:spacing w:val="-4"/>
          <w:szCs w:val="28"/>
          <w:lang w:val="nl-NL"/>
        </w:rPr>
        <w:t>Tiêu chí 2).</w:t>
      </w:r>
    </w:p>
    <w:p w:rsidR="009A560E" w:rsidRPr="009A560E" w:rsidRDefault="009A560E" w:rsidP="009A560E">
      <w:pPr>
        <w:spacing w:before="120" w:after="120" w:line="360" w:lineRule="exact"/>
        <w:ind w:firstLine="567"/>
        <w:jc w:val="both"/>
        <w:rPr>
          <w:lang w:val="nl-NL"/>
        </w:rPr>
      </w:pPr>
      <w:r w:rsidRPr="009A560E">
        <w:rPr>
          <w:lang w:val="nl-NL"/>
        </w:rPr>
        <w:t>Trường hợp kết quả rà soát một nội dung, quy định của VBQPPL đồng thời liên quan đến nhiều tiêu chí khác nhau thì ghi tất cả các tiêu chí (Ví dụ: Tiêu chí 2; Tiêu chí 4).</w:t>
      </w:r>
    </w:p>
    <w:p w:rsidR="009A560E" w:rsidRPr="009A560E" w:rsidRDefault="009A560E" w:rsidP="009A560E">
      <w:pPr>
        <w:spacing w:before="120" w:after="120" w:line="360" w:lineRule="exact"/>
        <w:jc w:val="both"/>
        <w:rPr>
          <w:shd w:val="clear" w:color="auto" w:fill="FFFFFF"/>
          <w:lang w:val="nl-NL"/>
        </w:rPr>
      </w:pPr>
      <w:r w:rsidRPr="00902930">
        <w:rPr>
          <w:b/>
          <w:bCs/>
          <w:i/>
          <w:iCs/>
          <w:lang w:val="nl-NL"/>
        </w:rPr>
        <w:t>- Cột (8)</w:t>
      </w:r>
      <w:r w:rsidRPr="00902930">
        <w:rPr>
          <w:lang w:val="nl-NL"/>
        </w:rPr>
        <w:t xml:space="preserve">: Điền hình thức xử lý đối với nội dung, quy định của văn bản nếu cần </w:t>
      </w:r>
      <w:r w:rsidRPr="00902930">
        <w:rPr>
          <w:b/>
          <w:bCs/>
          <w:lang w:val="nl-NL"/>
        </w:rPr>
        <w:t xml:space="preserve">tạm ngưng hiệu lực một phần; </w:t>
      </w:r>
      <w:r w:rsidRPr="009A560E">
        <w:rPr>
          <w:b/>
          <w:bCs/>
          <w:shd w:val="clear" w:color="auto" w:fill="FFFFFF"/>
          <w:lang w:val="nl-NL"/>
        </w:rPr>
        <w:t>hướng dẫn áp dụng VBQPPL</w:t>
      </w:r>
      <w:r w:rsidRPr="009A560E">
        <w:rPr>
          <w:shd w:val="clear" w:color="auto" w:fill="FFFFFF"/>
          <w:lang w:val="nl-NL"/>
        </w:rPr>
        <w:t>.</w:t>
      </w:r>
    </w:p>
    <w:p w:rsidR="009A560E" w:rsidRPr="009A560E" w:rsidRDefault="009A560E" w:rsidP="009A560E">
      <w:pPr>
        <w:spacing w:before="120" w:after="120" w:line="360" w:lineRule="exact"/>
        <w:ind w:firstLine="567"/>
        <w:jc w:val="both"/>
        <w:rPr>
          <w:iCs/>
          <w:spacing w:val="-2"/>
          <w:szCs w:val="28"/>
          <w:shd w:val="clear" w:color="auto" w:fill="FFFFFF"/>
          <w:lang w:val="nl-NL"/>
        </w:rPr>
      </w:pPr>
      <w:r w:rsidRPr="009A560E">
        <w:rPr>
          <w:shd w:val="clear" w:color="auto" w:fill="FFFFFF"/>
          <w:lang w:val="nl-NL"/>
        </w:rPr>
        <w:t xml:space="preserve">Ví dụ: Nếu “nội dung 1” của văn bản A cần tạm ngưng hiệu lực thì ghi “Tạm ngưng hiệu lực một phần”. </w:t>
      </w:r>
    </w:p>
    <w:p w:rsidR="009A560E" w:rsidRPr="00902930" w:rsidRDefault="009A560E" w:rsidP="009A560E">
      <w:pPr>
        <w:shd w:val="clear" w:color="auto" w:fill="FFFFFF"/>
        <w:spacing w:before="120" w:after="120" w:line="360" w:lineRule="exact"/>
        <w:jc w:val="both"/>
        <w:rPr>
          <w:szCs w:val="28"/>
          <w:lang w:val="nl-NL"/>
        </w:rPr>
      </w:pPr>
      <w:r w:rsidRPr="00902930">
        <w:rPr>
          <w:szCs w:val="28"/>
          <w:lang w:val="nl-NL"/>
        </w:rPr>
        <w:t xml:space="preserve">- </w:t>
      </w:r>
      <w:r w:rsidRPr="00902930">
        <w:rPr>
          <w:b/>
          <w:szCs w:val="28"/>
          <w:lang w:val="nl-NL"/>
        </w:rPr>
        <w:t>Lưu ý:</w:t>
      </w:r>
      <w:r w:rsidRPr="00902930">
        <w:rPr>
          <w:szCs w:val="28"/>
          <w:lang w:val="nl-NL"/>
        </w:rPr>
        <w:t xml:space="preserve"> </w:t>
      </w:r>
    </w:p>
    <w:p w:rsidR="009A560E" w:rsidRPr="00902930" w:rsidRDefault="009A560E" w:rsidP="009A560E">
      <w:pPr>
        <w:spacing w:before="120" w:after="120" w:line="360" w:lineRule="exact"/>
        <w:ind w:firstLine="567"/>
        <w:jc w:val="both"/>
        <w:rPr>
          <w:szCs w:val="28"/>
          <w:lang w:val="nl-NL"/>
        </w:rPr>
      </w:pPr>
      <w:r w:rsidRPr="00902930">
        <w:rPr>
          <w:szCs w:val="28"/>
          <w:lang w:val="nl-NL"/>
        </w:rPr>
        <w:t>+ 01 VBQPPL (gốc) chỉ xuất hiện 01 lần trong Danh mục (thuộc lĩnh vực của đơn vị có trách nhiệm chủ trì rà soát/tổng hợp kết quả rà soát).</w:t>
      </w:r>
    </w:p>
    <w:p w:rsidR="009A560E" w:rsidRPr="00902930" w:rsidRDefault="009A560E" w:rsidP="009A560E">
      <w:pPr>
        <w:spacing w:before="120" w:after="120" w:line="360" w:lineRule="exact"/>
        <w:ind w:firstLine="567"/>
        <w:jc w:val="both"/>
        <w:rPr>
          <w:bCs/>
          <w:szCs w:val="28"/>
          <w:lang w:val="nl-NL"/>
        </w:rPr>
      </w:pPr>
      <w:r w:rsidRPr="00902930">
        <w:rPr>
          <w:szCs w:val="28"/>
          <w:lang w:val="nl-NL"/>
        </w:rPr>
        <w:t xml:space="preserve">+ Tổng số văn bản đề xuất xử lý: Tính theo số văn bản được rà soát tại cột (2). </w:t>
      </w:r>
      <w:r w:rsidRPr="00902930">
        <w:rPr>
          <w:bCs/>
          <w:szCs w:val="28"/>
          <w:lang w:val="nl-NL"/>
        </w:rPr>
        <w:t>Không tính số liệu văn bản sửa đổi, bổ sung.</w:t>
      </w:r>
    </w:p>
    <w:p w:rsidR="009A560E" w:rsidRPr="00902930" w:rsidRDefault="009A560E" w:rsidP="009A560E">
      <w:pPr>
        <w:spacing w:before="120" w:after="120" w:line="360" w:lineRule="exact"/>
        <w:ind w:firstLine="567"/>
        <w:jc w:val="both"/>
        <w:rPr>
          <w:bCs/>
          <w:szCs w:val="28"/>
          <w:lang w:val="nl-NL"/>
        </w:rPr>
      </w:pPr>
      <w:r w:rsidRPr="00902930">
        <w:rPr>
          <w:bCs/>
          <w:szCs w:val="28"/>
          <w:lang w:val="nl-NL"/>
        </w:rPr>
        <w:t xml:space="preserve">+ </w:t>
      </w:r>
      <w:r w:rsidRPr="00902930">
        <w:rPr>
          <w:b/>
          <w:szCs w:val="28"/>
          <w:lang w:val="nl-NL"/>
        </w:rPr>
        <w:t>Không thực hiện</w:t>
      </w:r>
      <w:r w:rsidRPr="00902930">
        <w:rPr>
          <w:bCs/>
          <w:szCs w:val="28"/>
          <w:lang w:val="nl-NL"/>
        </w:rPr>
        <w:t xml:space="preserve"> rà soát đối với VBQPPL chỉ ban hành để bãi bỏ VBQPPL khác.</w:t>
      </w:r>
    </w:p>
    <w:p w:rsidR="009A560E" w:rsidRPr="00902930" w:rsidRDefault="009A560E" w:rsidP="009A560E">
      <w:pPr>
        <w:spacing w:before="120" w:after="120" w:line="360" w:lineRule="exact"/>
        <w:ind w:firstLine="567"/>
        <w:jc w:val="both"/>
        <w:rPr>
          <w:bCs/>
          <w:szCs w:val="28"/>
          <w:lang w:val="nl-NL"/>
        </w:rPr>
      </w:pPr>
      <w:bookmarkStart w:id="2" w:name="_Hlk225194178"/>
      <w:bookmarkStart w:id="3" w:name="_Hlk226971132"/>
      <w:r w:rsidRPr="00902930">
        <w:rPr>
          <w:bCs/>
          <w:szCs w:val="28"/>
          <w:lang w:val="nl-NL"/>
        </w:rPr>
        <w:t xml:space="preserve">+ Tên các lĩnh vực: Theo tên của cơ quan chuyên môn thuộc UBND cấp tỉnh (trừ VBQPPL do Văn phòng UBND rà soát) (Ví dụ: Lĩnh vực Tư pháp, Lĩnh vực Tài chính...). </w:t>
      </w:r>
    </w:p>
    <w:p w:rsidR="009A560E" w:rsidRPr="00902930" w:rsidRDefault="009A560E" w:rsidP="009A560E">
      <w:pPr>
        <w:spacing w:before="120" w:after="120" w:line="360" w:lineRule="exact"/>
        <w:ind w:firstLine="567"/>
        <w:jc w:val="both"/>
        <w:rPr>
          <w:bCs/>
          <w:sz w:val="26"/>
          <w:szCs w:val="26"/>
          <w:lang w:val="nl-NL"/>
        </w:rPr>
      </w:pPr>
      <w:r w:rsidRPr="00902930">
        <w:rPr>
          <w:bCs/>
          <w:szCs w:val="28"/>
          <w:lang w:val="nl-NL"/>
        </w:rPr>
        <w:t>+ Lĩnh vực khác: Gồm các VBQPPL do Văn phòng UBND và các cơ quan không phải các cơ quan chuyên môn thuộc UBND cấp tỉnh thực hiện rà soát.</w:t>
      </w:r>
    </w:p>
    <w:p w:rsidR="009A560E" w:rsidRPr="00902930" w:rsidRDefault="009A560E" w:rsidP="009A560E">
      <w:pPr>
        <w:spacing w:before="120" w:after="120" w:line="360" w:lineRule="exact"/>
        <w:ind w:firstLine="567"/>
        <w:jc w:val="both"/>
        <w:rPr>
          <w:bCs/>
          <w:sz w:val="26"/>
          <w:szCs w:val="26"/>
          <w:lang w:val="nl-NL"/>
        </w:rPr>
      </w:pPr>
      <w:r w:rsidRPr="00902930">
        <w:rPr>
          <w:bCs/>
          <w:i/>
          <w:iCs/>
          <w:szCs w:val="28"/>
          <w:lang w:val="nl-NL"/>
        </w:rPr>
        <w:t>+</w:t>
      </w:r>
      <w:r w:rsidRPr="00902930">
        <w:rPr>
          <w:bCs/>
          <w:szCs w:val="28"/>
          <w:lang w:val="nl-NL"/>
        </w:rPr>
        <w:t xml:space="preserve"> Việc xử lý văn bản trong trường hợp nhiều đơn vị hành chính được nhập thành một đơn vị hành chính mới cùng cấp: cần lưu ý quy định tại điểm b khoản 2 Điều 54 Luật Ban hành VBQPPL số 64/2025/QH15, được sửa đổi, bổ sung bởi Luật số 87/2025/QH15. </w:t>
      </w:r>
      <w:bookmarkEnd w:id="2"/>
      <w:bookmarkEnd w:id="3"/>
    </w:p>
    <w:p w:rsidR="00A260A8" w:rsidRDefault="00A260A8" w:rsidP="00B31B86">
      <w:pPr>
        <w:spacing w:before="120" w:after="120" w:line="360" w:lineRule="exact"/>
        <w:ind w:firstLine="567"/>
        <w:jc w:val="both"/>
        <w:rPr>
          <w:bCs/>
          <w:sz w:val="26"/>
          <w:szCs w:val="26"/>
        </w:rPr>
      </w:pPr>
    </w:p>
    <w:sectPr w:rsidR="00A260A8" w:rsidSect="00402E64">
      <w:headerReference w:type="default" r:id="rId11"/>
      <w:footerReference w:type="even" r:id="rId12"/>
      <w:footerReference w:type="default" r:id="rId13"/>
      <w:pgSz w:w="16840" w:h="11907" w:orient="landscape" w:code="9"/>
      <w:pgMar w:top="851" w:right="1134" w:bottom="851"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571D8" w:rsidRDefault="003571D8">
      <w:r>
        <w:separator/>
      </w:r>
    </w:p>
  </w:endnote>
  <w:endnote w:type="continuationSeparator" w:id="0">
    <w:p w:rsidR="003571D8" w:rsidRDefault="00357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Yu Gothic Light">
    <w:altName w:val="游ゴシック Light"/>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5526" w:rsidRDefault="002A5526" w:rsidP="00A4117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724E0">
      <w:rPr>
        <w:rStyle w:val="PageNumber"/>
        <w:noProof/>
      </w:rPr>
      <w:t>2</w:t>
    </w:r>
    <w:r>
      <w:rPr>
        <w:rStyle w:val="PageNumber"/>
      </w:rPr>
      <w:fldChar w:fldCharType="end"/>
    </w:r>
  </w:p>
  <w:p w:rsidR="002A5526" w:rsidRDefault="002A5526" w:rsidP="00A4117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5526" w:rsidRDefault="002A5526" w:rsidP="00A4117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571D8" w:rsidRDefault="003571D8">
      <w:r>
        <w:separator/>
      </w:r>
    </w:p>
  </w:footnote>
  <w:footnote w:type="continuationSeparator" w:id="0">
    <w:p w:rsidR="003571D8" w:rsidRDefault="003571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24E0" w:rsidRDefault="000A6D98" w:rsidP="009655AC">
    <w:pPr>
      <w:pStyle w:val="Header"/>
      <w:jc w:val="center"/>
    </w:pPr>
    <w:r>
      <w:fldChar w:fldCharType="begin"/>
    </w:r>
    <w:r>
      <w:instrText xml:space="preserve"> PAGE   \* MERGEFORMAT </w:instrText>
    </w:r>
    <w:r>
      <w:fldChar w:fldCharType="separate"/>
    </w:r>
    <w:r w:rsidR="00902930">
      <w:rPr>
        <w:noProof/>
      </w:rPr>
      <w:t>6</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F25BF"/>
    <w:multiLevelType w:val="hybridMultilevel"/>
    <w:tmpl w:val="EFD0925E"/>
    <w:lvl w:ilvl="0" w:tplc="59F0C5F6">
      <w:start w:val="3"/>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E5375C"/>
    <w:multiLevelType w:val="hybridMultilevel"/>
    <w:tmpl w:val="1846951A"/>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3144EE8"/>
    <w:multiLevelType w:val="hybridMultilevel"/>
    <w:tmpl w:val="9BAEEC5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46394B"/>
    <w:multiLevelType w:val="multilevel"/>
    <w:tmpl w:val="657013D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4E2035D"/>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77A11DB"/>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98B3B48"/>
    <w:multiLevelType w:val="multilevel"/>
    <w:tmpl w:val="D6EE0A6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A411669"/>
    <w:multiLevelType w:val="hybridMultilevel"/>
    <w:tmpl w:val="E4947F8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6CA6D62"/>
    <w:multiLevelType w:val="hybridMultilevel"/>
    <w:tmpl w:val="12DA7722"/>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BDB5A18"/>
    <w:multiLevelType w:val="hybridMultilevel"/>
    <w:tmpl w:val="223A971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BF65E35"/>
    <w:multiLevelType w:val="hybridMultilevel"/>
    <w:tmpl w:val="CFE8798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0384CE5"/>
    <w:multiLevelType w:val="hybridMultilevel"/>
    <w:tmpl w:val="6B562C2C"/>
    <w:lvl w:ilvl="0" w:tplc="4E5A38EC">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03A1A21"/>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21DF242F"/>
    <w:multiLevelType w:val="hybridMultilevel"/>
    <w:tmpl w:val="ABD20D8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BE76DD4"/>
    <w:multiLevelType w:val="hybridMultilevel"/>
    <w:tmpl w:val="7894425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EA3A90"/>
    <w:multiLevelType w:val="hybridMultilevel"/>
    <w:tmpl w:val="D6EE0A6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92033F4"/>
    <w:multiLevelType w:val="hybridMultilevel"/>
    <w:tmpl w:val="CFC40E0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EE46AE"/>
    <w:multiLevelType w:val="hybridMultilevel"/>
    <w:tmpl w:val="657013D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3D2440"/>
    <w:multiLevelType w:val="hybridMultilevel"/>
    <w:tmpl w:val="C2BACA6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DA25A8"/>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D6F0B2F"/>
    <w:multiLevelType w:val="hybridMultilevel"/>
    <w:tmpl w:val="905EDDF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ED24AC0"/>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F252238"/>
    <w:multiLevelType w:val="hybridMultilevel"/>
    <w:tmpl w:val="05388AEE"/>
    <w:lvl w:ilvl="0" w:tplc="0C0CA36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BD1336"/>
    <w:multiLevelType w:val="hybridMultilevel"/>
    <w:tmpl w:val="FB64D74C"/>
    <w:lvl w:ilvl="0" w:tplc="7E90D6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9977ACD"/>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B39122A"/>
    <w:multiLevelType w:val="hybridMultilevel"/>
    <w:tmpl w:val="1D0CD12E"/>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7B752B0"/>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9ED15A7"/>
    <w:multiLevelType w:val="hybridMultilevel"/>
    <w:tmpl w:val="AAB8DA8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A5E0145"/>
    <w:multiLevelType w:val="hybridMultilevel"/>
    <w:tmpl w:val="C74E7C62"/>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2023917"/>
    <w:multiLevelType w:val="hybridMultilevel"/>
    <w:tmpl w:val="AC804A3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4986BF6"/>
    <w:multiLevelType w:val="hybridMultilevel"/>
    <w:tmpl w:val="FEA81D18"/>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4F96D6B"/>
    <w:multiLevelType w:val="hybridMultilevel"/>
    <w:tmpl w:val="CC8A56E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54C511F"/>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93D2947"/>
    <w:multiLevelType w:val="hybridMultilevel"/>
    <w:tmpl w:val="9DBCACE8"/>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D022432"/>
    <w:multiLevelType w:val="hybridMultilevel"/>
    <w:tmpl w:val="97B0E4E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D1214FD"/>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EFA3EAE"/>
    <w:multiLevelType w:val="hybridMultilevel"/>
    <w:tmpl w:val="D1E85E7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9807F0B"/>
    <w:multiLevelType w:val="hybridMultilevel"/>
    <w:tmpl w:val="48AC7DD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A4D3010"/>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7AD354FC"/>
    <w:multiLevelType w:val="hybridMultilevel"/>
    <w:tmpl w:val="122EB4D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D1B38AA"/>
    <w:multiLevelType w:val="hybridMultilevel"/>
    <w:tmpl w:val="1EC4B97A"/>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D2D0A27"/>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2" w15:restartNumberingAfterBreak="0">
    <w:nsid w:val="7EE56F3F"/>
    <w:multiLevelType w:val="multilevel"/>
    <w:tmpl w:val="D6EE0A6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7FFE15E5"/>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1"/>
  </w:num>
  <w:num w:numId="2">
    <w:abstractNumId w:val="1"/>
  </w:num>
  <w:num w:numId="3">
    <w:abstractNumId w:val="13"/>
  </w:num>
  <w:num w:numId="4">
    <w:abstractNumId w:val="20"/>
  </w:num>
  <w:num w:numId="5">
    <w:abstractNumId w:val="2"/>
  </w:num>
  <w:num w:numId="6">
    <w:abstractNumId w:val="18"/>
  </w:num>
  <w:num w:numId="7">
    <w:abstractNumId w:val="10"/>
  </w:num>
  <w:num w:numId="8">
    <w:abstractNumId w:val="29"/>
  </w:num>
  <w:num w:numId="9">
    <w:abstractNumId w:val="9"/>
  </w:num>
  <w:num w:numId="10">
    <w:abstractNumId w:val="40"/>
  </w:num>
  <w:num w:numId="11">
    <w:abstractNumId w:val="30"/>
  </w:num>
  <w:num w:numId="12">
    <w:abstractNumId w:val="7"/>
  </w:num>
  <w:num w:numId="13">
    <w:abstractNumId w:val="15"/>
  </w:num>
  <w:num w:numId="14">
    <w:abstractNumId w:val="39"/>
  </w:num>
  <w:num w:numId="15">
    <w:abstractNumId w:val="36"/>
  </w:num>
  <w:num w:numId="16">
    <w:abstractNumId w:val="34"/>
  </w:num>
  <w:num w:numId="17">
    <w:abstractNumId w:val="8"/>
  </w:num>
  <w:num w:numId="18">
    <w:abstractNumId w:val="14"/>
  </w:num>
  <w:num w:numId="19">
    <w:abstractNumId w:val="16"/>
  </w:num>
  <w:num w:numId="20">
    <w:abstractNumId w:val="31"/>
  </w:num>
  <w:num w:numId="21">
    <w:abstractNumId w:val="37"/>
  </w:num>
  <w:num w:numId="22">
    <w:abstractNumId w:val="25"/>
  </w:num>
  <w:num w:numId="23">
    <w:abstractNumId w:val="28"/>
  </w:num>
  <w:num w:numId="24">
    <w:abstractNumId w:val="27"/>
  </w:num>
  <w:num w:numId="25">
    <w:abstractNumId w:val="17"/>
  </w:num>
  <w:num w:numId="26">
    <w:abstractNumId w:val="42"/>
  </w:num>
  <w:num w:numId="27">
    <w:abstractNumId w:val="6"/>
  </w:num>
  <w:num w:numId="28">
    <w:abstractNumId w:val="33"/>
  </w:num>
  <w:num w:numId="29">
    <w:abstractNumId w:val="3"/>
  </w:num>
  <w:num w:numId="30">
    <w:abstractNumId w:val="11"/>
  </w:num>
  <w:num w:numId="31">
    <w:abstractNumId w:val="4"/>
  </w:num>
  <w:num w:numId="32">
    <w:abstractNumId w:val="5"/>
  </w:num>
  <w:num w:numId="33">
    <w:abstractNumId w:val="43"/>
  </w:num>
  <w:num w:numId="34">
    <w:abstractNumId w:val="32"/>
  </w:num>
  <w:num w:numId="35">
    <w:abstractNumId w:val="19"/>
  </w:num>
  <w:num w:numId="36">
    <w:abstractNumId w:val="26"/>
  </w:num>
  <w:num w:numId="37">
    <w:abstractNumId w:val="35"/>
  </w:num>
  <w:num w:numId="38">
    <w:abstractNumId w:val="38"/>
  </w:num>
  <w:num w:numId="39">
    <w:abstractNumId w:val="24"/>
  </w:num>
  <w:num w:numId="40">
    <w:abstractNumId w:val="0"/>
  </w:num>
  <w:num w:numId="41">
    <w:abstractNumId w:val="41"/>
  </w:num>
  <w:num w:numId="42">
    <w:abstractNumId w:val="12"/>
  </w:num>
  <w:num w:numId="43">
    <w:abstractNumId w:val="23"/>
  </w:num>
  <w:num w:numId="4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rawingGridHorizontalSpacing w:val="109"/>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63FF"/>
    <w:rsid w:val="00001826"/>
    <w:rsid w:val="00002DED"/>
    <w:rsid w:val="00003D5B"/>
    <w:rsid w:val="00007463"/>
    <w:rsid w:val="0000797C"/>
    <w:rsid w:val="0001642E"/>
    <w:rsid w:val="00016AEF"/>
    <w:rsid w:val="000217E1"/>
    <w:rsid w:val="00022AF8"/>
    <w:rsid w:val="000243B7"/>
    <w:rsid w:val="00032670"/>
    <w:rsid w:val="0003769A"/>
    <w:rsid w:val="000412B8"/>
    <w:rsid w:val="00043E20"/>
    <w:rsid w:val="000737C8"/>
    <w:rsid w:val="00077BBD"/>
    <w:rsid w:val="00080C73"/>
    <w:rsid w:val="00082ACD"/>
    <w:rsid w:val="00082DD4"/>
    <w:rsid w:val="00090B40"/>
    <w:rsid w:val="000A6D98"/>
    <w:rsid w:val="000B7682"/>
    <w:rsid w:val="000D2DF9"/>
    <w:rsid w:val="000E10D4"/>
    <w:rsid w:val="000E49A2"/>
    <w:rsid w:val="000E5398"/>
    <w:rsid w:val="000E5654"/>
    <w:rsid w:val="000F2579"/>
    <w:rsid w:val="000F61BF"/>
    <w:rsid w:val="000F7090"/>
    <w:rsid w:val="001023B4"/>
    <w:rsid w:val="001056E9"/>
    <w:rsid w:val="00114B96"/>
    <w:rsid w:val="00117563"/>
    <w:rsid w:val="00126557"/>
    <w:rsid w:val="00126610"/>
    <w:rsid w:val="00134D21"/>
    <w:rsid w:val="0013765E"/>
    <w:rsid w:val="00140A26"/>
    <w:rsid w:val="00151BFE"/>
    <w:rsid w:val="001612E1"/>
    <w:rsid w:val="001624CD"/>
    <w:rsid w:val="001636F1"/>
    <w:rsid w:val="0017631B"/>
    <w:rsid w:val="00176A06"/>
    <w:rsid w:val="001847B2"/>
    <w:rsid w:val="00195487"/>
    <w:rsid w:val="001A3D99"/>
    <w:rsid w:val="001A7DF5"/>
    <w:rsid w:val="001B5890"/>
    <w:rsid w:val="001C4499"/>
    <w:rsid w:val="001D7ED8"/>
    <w:rsid w:val="001E5493"/>
    <w:rsid w:val="001E6476"/>
    <w:rsid w:val="001F1AF5"/>
    <w:rsid w:val="001F2B98"/>
    <w:rsid w:val="001F5AC7"/>
    <w:rsid w:val="001F76C9"/>
    <w:rsid w:val="001F77F6"/>
    <w:rsid w:val="00201846"/>
    <w:rsid w:val="00215B2B"/>
    <w:rsid w:val="00216D4F"/>
    <w:rsid w:val="00221B44"/>
    <w:rsid w:val="0022263A"/>
    <w:rsid w:val="0022414A"/>
    <w:rsid w:val="00230C01"/>
    <w:rsid w:val="00231756"/>
    <w:rsid w:val="002324C2"/>
    <w:rsid w:val="00234876"/>
    <w:rsid w:val="00236E4C"/>
    <w:rsid w:val="002471A1"/>
    <w:rsid w:val="0025053E"/>
    <w:rsid w:val="0025365D"/>
    <w:rsid w:val="00254FDC"/>
    <w:rsid w:val="00283F6D"/>
    <w:rsid w:val="00284977"/>
    <w:rsid w:val="0028539C"/>
    <w:rsid w:val="002875DF"/>
    <w:rsid w:val="00290A0C"/>
    <w:rsid w:val="002925C3"/>
    <w:rsid w:val="0029723C"/>
    <w:rsid w:val="002A3D7D"/>
    <w:rsid w:val="002A5526"/>
    <w:rsid w:val="002A782C"/>
    <w:rsid w:val="002B00C5"/>
    <w:rsid w:val="002B2E23"/>
    <w:rsid w:val="002B31C0"/>
    <w:rsid w:val="002C2B91"/>
    <w:rsid w:val="002C5E35"/>
    <w:rsid w:val="002D2B9D"/>
    <w:rsid w:val="002E21AE"/>
    <w:rsid w:val="002E5078"/>
    <w:rsid w:val="002E736F"/>
    <w:rsid w:val="002F03DE"/>
    <w:rsid w:val="002F049E"/>
    <w:rsid w:val="002F6712"/>
    <w:rsid w:val="00311765"/>
    <w:rsid w:val="003163FF"/>
    <w:rsid w:val="003233A5"/>
    <w:rsid w:val="003241A1"/>
    <w:rsid w:val="00326BBC"/>
    <w:rsid w:val="003318BF"/>
    <w:rsid w:val="00334B98"/>
    <w:rsid w:val="003378B5"/>
    <w:rsid w:val="00340EAF"/>
    <w:rsid w:val="00342AF0"/>
    <w:rsid w:val="0034467E"/>
    <w:rsid w:val="00345CD9"/>
    <w:rsid w:val="00350DFA"/>
    <w:rsid w:val="00350F98"/>
    <w:rsid w:val="003571D8"/>
    <w:rsid w:val="00360AF0"/>
    <w:rsid w:val="0036350C"/>
    <w:rsid w:val="00365C98"/>
    <w:rsid w:val="003773CA"/>
    <w:rsid w:val="00380D82"/>
    <w:rsid w:val="00390B5A"/>
    <w:rsid w:val="00396563"/>
    <w:rsid w:val="00397BA0"/>
    <w:rsid w:val="003A04F3"/>
    <w:rsid w:val="003A1D44"/>
    <w:rsid w:val="003A2474"/>
    <w:rsid w:val="003A5406"/>
    <w:rsid w:val="003B5FE7"/>
    <w:rsid w:val="003B682C"/>
    <w:rsid w:val="003C1130"/>
    <w:rsid w:val="003C3CCF"/>
    <w:rsid w:val="003C6521"/>
    <w:rsid w:val="003D1310"/>
    <w:rsid w:val="003E2FBC"/>
    <w:rsid w:val="003E7CF9"/>
    <w:rsid w:val="003F457E"/>
    <w:rsid w:val="003F5F13"/>
    <w:rsid w:val="0040121A"/>
    <w:rsid w:val="00402E64"/>
    <w:rsid w:val="00403ACA"/>
    <w:rsid w:val="00403DD2"/>
    <w:rsid w:val="00410DFF"/>
    <w:rsid w:val="00417371"/>
    <w:rsid w:val="00422305"/>
    <w:rsid w:val="00424B9A"/>
    <w:rsid w:val="00435C7E"/>
    <w:rsid w:val="00443FB8"/>
    <w:rsid w:val="00456162"/>
    <w:rsid w:val="0047106C"/>
    <w:rsid w:val="004749C7"/>
    <w:rsid w:val="00475B46"/>
    <w:rsid w:val="00481F8F"/>
    <w:rsid w:val="004978ED"/>
    <w:rsid w:val="004A181E"/>
    <w:rsid w:val="004A7225"/>
    <w:rsid w:val="004B00D7"/>
    <w:rsid w:val="004B3910"/>
    <w:rsid w:val="004C34F9"/>
    <w:rsid w:val="004E018F"/>
    <w:rsid w:val="004E15E0"/>
    <w:rsid w:val="004E518C"/>
    <w:rsid w:val="004E5541"/>
    <w:rsid w:val="004F56CA"/>
    <w:rsid w:val="004F59D0"/>
    <w:rsid w:val="00504FFF"/>
    <w:rsid w:val="00506CDB"/>
    <w:rsid w:val="0051413A"/>
    <w:rsid w:val="00515C2B"/>
    <w:rsid w:val="00521C7B"/>
    <w:rsid w:val="0052402C"/>
    <w:rsid w:val="0052462A"/>
    <w:rsid w:val="00530BAF"/>
    <w:rsid w:val="0054662A"/>
    <w:rsid w:val="00546EB1"/>
    <w:rsid w:val="00552B42"/>
    <w:rsid w:val="00556455"/>
    <w:rsid w:val="00563E5A"/>
    <w:rsid w:val="005654CC"/>
    <w:rsid w:val="005675BA"/>
    <w:rsid w:val="00570576"/>
    <w:rsid w:val="00574042"/>
    <w:rsid w:val="005756D3"/>
    <w:rsid w:val="005958D8"/>
    <w:rsid w:val="00595A95"/>
    <w:rsid w:val="005A2B99"/>
    <w:rsid w:val="005A39A6"/>
    <w:rsid w:val="005A6DB1"/>
    <w:rsid w:val="005B6F4A"/>
    <w:rsid w:val="005C3232"/>
    <w:rsid w:val="005C49FA"/>
    <w:rsid w:val="005E0F65"/>
    <w:rsid w:val="005E4C8F"/>
    <w:rsid w:val="00603023"/>
    <w:rsid w:val="00607012"/>
    <w:rsid w:val="006234D1"/>
    <w:rsid w:val="006304A9"/>
    <w:rsid w:val="006400B3"/>
    <w:rsid w:val="00646BC9"/>
    <w:rsid w:val="00647F89"/>
    <w:rsid w:val="00652903"/>
    <w:rsid w:val="006664E8"/>
    <w:rsid w:val="00670DF1"/>
    <w:rsid w:val="00673A76"/>
    <w:rsid w:val="006858D9"/>
    <w:rsid w:val="006865C4"/>
    <w:rsid w:val="006868C2"/>
    <w:rsid w:val="00691F03"/>
    <w:rsid w:val="00694D35"/>
    <w:rsid w:val="006964DA"/>
    <w:rsid w:val="006A5CC2"/>
    <w:rsid w:val="006A7A69"/>
    <w:rsid w:val="006B09C3"/>
    <w:rsid w:val="006B29FA"/>
    <w:rsid w:val="006B4400"/>
    <w:rsid w:val="006B528A"/>
    <w:rsid w:val="006C69A5"/>
    <w:rsid w:val="006D2775"/>
    <w:rsid w:val="006D322D"/>
    <w:rsid w:val="006E1B2A"/>
    <w:rsid w:val="006E26C7"/>
    <w:rsid w:val="006E4D94"/>
    <w:rsid w:val="006F504A"/>
    <w:rsid w:val="00700295"/>
    <w:rsid w:val="00715B7B"/>
    <w:rsid w:val="007267E3"/>
    <w:rsid w:val="00727D62"/>
    <w:rsid w:val="00731BF6"/>
    <w:rsid w:val="00732BCD"/>
    <w:rsid w:val="00733C5C"/>
    <w:rsid w:val="00741EBC"/>
    <w:rsid w:val="00751A36"/>
    <w:rsid w:val="0075292C"/>
    <w:rsid w:val="00763733"/>
    <w:rsid w:val="00764A18"/>
    <w:rsid w:val="00765F32"/>
    <w:rsid w:val="00766EC0"/>
    <w:rsid w:val="00772601"/>
    <w:rsid w:val="00775E61"/>
    <w:rsid w:val="00784325"/>
    <w:rsid w:val="0079150D"/>
    <w:rsid w:val="00793FD5"/>
    <w:rsid w:val="00796487"/>
    <w:rsid w:val="00796EC8"/>
    <w:rsid w:val="00796FAE"/>
    <w:rsid w:val="007970CE"/>
    <w:rsid w:val="007978FA"/>
    <w:rsid w:val="007A42DD"/>
    <w:rsid w:val="007B5755"/>
    <w:rsid w:val="007B58CC"/>
    <w:rsid w:val="007C2AAF"/>
    <w:rsid w:val="007C578E"/>
    <w:rsid w:val="007C5D38"/>
    <w:rsid w:val="007D413C"/>
    <w:rsid w:val="007D5728"/>
    <w:rsid w:val="007E28E4"/>
    <w:rsid w:val="007E2DFB"/>
    <w:rsid w:val="007E433C"/>
    <w:rsid w:val="007E4A8F"/>
    <w:rsid w:val="007E7DFD"/>
    <w:rsid w:val="007F05A6"/>
    <w:rsid w:val="007F43E3"/>
    <w:rsid w:val="007F4ACA"/>
    <w:rsid w:val="008141DF"/>
    <w:rsid w:val="008155CF"/>
    <w:rsid w:val="0081791A"/>
    <w:rsid w:val="00822078"/>
    <w:rsid w:val="008305C3"/>
    <w:rsid w:val="008322C5"/>
    <w:rsid w:val="0083501F"/>
    <w:rsid w:val="008415FB"/>
    <w:rsid w:val="008443FC"/>
    <w:rsid w:val="00844819"/>
    <w:rsid w:val="00845B35"/>
    <w:rsid w:val="00845CC9"/>
    <w:rsid w:val="00846B3D"/>
    <w:rsid w:val="0085786E"/>
    <w:rsid w:val="008601BD"/>
    <w:rsid w:val="008650E1"/>
    <w:rsid w:val="00865F69"/>
    <w:rsid w:val="00867E28"/>
    <w:rsid w:val="00870B1A"/>
    <w:rsid w:val="00872C73"/>
    <w:rsid w:val="00873B5A"/>
    <w:rsid w:val="00874FDB"/>
    <w:rsid w:val="00876E6F"/>
    <w:rsid w:val="00876F78"/>
    <w:rsid w:val="00881A82"/>
    <w:rsid w:val="00885AC8"/>
    <w:rsid w:val="00887322"/>
    <w:rsid w:val="00896B5F"/>
    <w:rsid w:val="008A76DC"/>
    <w:rsid w:val="008B0527"/>
    <w:rsid w:val="008D02D6"/>
    <w:rsid w:val="008D1E5E"/>
    <w:rsid w:val="008D2A73"/>
    <w:rsid w:val="008E097C"/>
    <w:rsid w:val="008E4AAF"/>
    <w:rsid w:val="00902930"/>
    <w:rsid w:val="009037A5"/>
    <w:rsid w:val="00906CCC"/>
    <w:rsid w:val="00911D7B"/>
    <w:rsid w:val="00913FD1"/>
    <w:rsid w:val="00917142"/>
    <w:rsid w:val="0092406A"/>
    <w:rsid w:val="0092682F"/>
    <w:rsid w:val="00930113"/>
    <w:rsid w:val="00935DCB"/>
    <w:rsid w:val="009400DC"/>
    <w:rsid w:val="00942D6D"/>
    <w:rsid w:val="00943774"/>
    <w:rsid w:val="009451B9"/>
    <w:rsid w:val="0095062D"/>
    <w:rsid w:val="00953B96"/>
    <w:rsid w:val="0095473D"/>
    <w:rsid w:val="009655AC"/>
    <w:rsid w:val="00971124"/>
    <w:rsid w:val="009724E0"/>
    <w:rsid w:val="00975277"/>
    <w:rsid w:val="00981A10"/>
    <w:rsid w:val="0098371F"/>
    <w:rsid w:val="0099374E"/>
    <w:rsid w:val="009A46C5"/>
    <w:rsid w:val="009A560E"/>
    <w:rsid w:val="009B0066"/>
    <w:rsid w:val="009B5012"/>
    <w:rsid w:val="009B5AA3"/>
    <w:rsid w:val="009C272B"/>
    <w:rsid w:val="009C3438"/>
    <w:rsid w:val="009C3FFD"/>
    <w:rsid w:val="009C4259"/>
    <w:rsid w:val="009C47B0"/>
    <w:rsid w:val="009C5C89"/>
    <w:rsid w:val="009D0434"/>
    <w:rsid w:val="009F1782"/>
    <w:rsid w:val="009F4216"/>
    <w:rsid w:val="00A01505"/>
    <w:rsid w:val="00A019BC"/>
    <w:rsid w:val="00A026CE"/>
    <w:rsid w:val="00A05474"/>
    <w:rsid w:val="00A209AE"/>
    <w:rsid w:val="00A23748"/>
    <w:rsid w:val="00A260A8"/>
    <w:rsid w:val="00A272F3"/>
    <w:rsid w:val="00A306EB"/>
    <w:rsid w:val="00A34F3D"/>
    <w:rsid w:val="00A40898"/>
    <w:rsid w:val="00A409FC"/>
    <w:rsid w:val="00A40DB7"/>
    <w:rsid w:val="00A4117A"/>
    <w:rsid w:val="00A45A2E"/>
    <w:rsid w:val="00A570ED"/>
    <w:rsid w:val="00A653FA"/>
    <w:rsid w:val="00A67C89"/>
    <w:rsid w:val="00A80BD9"/>
    <w:rsid w:val="00A96222"/>
    <w:rsid w:val="00AA2AA9"/>
    <w:rsid w:val="00AB2D76"/>
    <w:rsid w:val="00AB3A64"/>
    <w:rsid w:val="00AC5D7D"/>
    <w:rsid w:val="00AC7036"/>
    <w:rsid w:val="00AD65F4"/>
    <w:rsid w:val="00AE4A09"/>
    <w:rsid w:val="00AE5301"/>
    <w:rsid w:val="00AF341D"/>
    <w:rsid w:val="00AF4860"/>
    <w:rsid w:val="00B00B7D"/>
    <w:rsid w:val="00B114C0"/>
    <w:rsid w:val="00B31B86"/>
    <w:rsid w:val="00B32C01"/>
    <w:rsid w:val="00B334F2"/>
    <w:rsid w:val="00B36229"/>
    <w:rsid w:val="00B440CB"/>
    <w:rsid w:val="00B46E13"/>
    <w:rsid w:val="00B47A07"/>
    <w:rsid w:val="00B51CFD"/>
    <w:rsid w:val="00B52ACC"/>
    <w:rsid w:val="00B53EEA"/>
    <w:rsid w:val="00B600E0"/>
    <w:rsid w:val="00B603AF"/>
    <w:rsid w:val="00B64220"/>
    <w:rsid w:val="00B73792"/>
    <w:rsid w:val="00B7422A"/>
    <w:rsid w:val="00B75B70"/>
    <w:rsid w:val="00B82A7C"/>
    <w:rsid w:val="00B84C8D"/>
    <w:rsid w:val="00B870C1"/>
    <w:rsid w:val="00BA25BB"/>
    <w:rsid w:val="00BB4F9B"/>
    <w:rsid w:val="00BB5F32"/>
    <w:rsid w:val="00BC1151"/>
    <w:rsid w:val="00BC2DBD"/>
    <w:rsid w:val="00BC3EE8"/>
    <w:rsid w:val="00BD1D3B"/>
    <w:rsid w:val="00BD478F"/>
    <w:rsid w:val="00BD55C3"/>
    <w:rsid w:val="00BF0AE6"/>
    <w:rsid w:val="00BF63BB"/>
    <w:rsid w:val="00C02DBB"/>
    <w:rsid w:val="00C204A7"/>
    <w:rsid w:val="00C260F3"/>
    <w:rsid w:val="00C32DD6"/>
    <w:rsid w:val="00C41B03"/>
    <w:rsid w:val="00C41E26"/>
    <w:rsid w:val="00C54F4B"/>
    <w:rsid w:val="00C55E29"/>
    <w:rsid w:val="00C61D01"/>
    <w:rsid w:val="00C6713B"/>
    <w:rsid w:val="00C71AC9"/>
    <w:rsid w:val="00C9406A"/>
    <w:rsid w:val="00C9521D"/>
    <w:rsid w:val="00C953F9"/>
    <w:rsid w:val="00C9609D"/>
    <w:rsid w:val="00CA6D62"/>
    <w:rsid w:val="00CB3535"/>
    <w:rsid w:val="00CC410B"/>
    <w:rsid w:val="00CD63AA"/>
    <w:rsid w:val="00CE237B"/>
    <w:rsid w:val="00CE43D6"/>
    <w:rsid w:val="00CE727E"/>
    <w:rsid w:val="00CF6950"/>
    <w:rsid w:val="00CF76E3"/>
    <w:rsid w:val="00D012D9"/>
    <w:rsid w:val="00D07184"/>
    <w:rsid w:val="00D10E28"/>
    <w:rsid w:val="00D26B94"/>
    <w:rsid w:val="00D30029"/>
    <w:rsid w:val="00D3459B"/>
    <w:rsid w:val="00D37621"/>
    <w:rsid w:val="00D60FE8"/>
    <w:rsid w:val="00D7264F"/>
    <w:rsid w:val="00D73181"/>
    <w:rsid w:val="00D7473C"/>
    <w:rsid w:val="00D754B1"/>
    <w:rsid w:val="00D866B3"/>
    <w:rsid w:val="00D8775C"/>
    <w:rsid w:val="00D91592"/>
    <w:rsid w:val="00D93EDD"/>
    <w:rsid w:val="00DB3D40"/>
    <w:rsid w:val="00DB40DF"/>
    <w:rsid w:val="00DB6486"/>
    <w:rsid w:val="00DC362B"/>
    <w:rsid w:val="00DD1FAE"/>
    <w:rsid w:val="00DE435E"/>
    <w:rsid w:val="00DE5969"/>
    <w:rsid w:val="00DE611C"/>
    <w:rsid w:val="00DF2776"/>
    <w:rsid w:val="00E0020C"/>
    <w:rsid w:val="00E02119"/>
    <w:rsid w:val="00E21333"/>
    <w:rsid w:val="00E27600"/>
    <w:rsid w:val="00E41AFA"/>
    <w:rsid w:val="00E503CB"/>
    <w:rsid w:val="00E51D2B"/>
    <w:rsid w:val="00E530DB"/>
    <w:rsid w:val="00E531A5"/>
    <w:rsid w:val="00E5360F"/>
    <w:rsid w:val="00E549FD"/>
    <w:rsid w:val="00E56BE3"/>
    <w:rsid w:val="00E61DC9"/>
    <w:rsid w:val="00E6257C"/>
    <w:rsid w:val="00E64E26"/>
    <w:rsid w:val="00E73FA5"/>
    <w:rsid w:val="00E75477"/>
    <w:rsid w:val="00E818E9"/>
    <w:rsid w:val="00E90BBB"/>
    <w:rsid w:val="00E91AC2"/>
    <w:rsid w:val="00E92834"/>
    <w:rsid w:val="00E97706"/>
    <w:rsid w:val="00EA280D"/>
    <w:rsid w:val="00EB7FBE"/>
    <w:rsid w:val="00EC5CB7"/>
    <w:rsid w:val="00EE0426"/>
    <w:rsid w:val="00EE0C94"/>
    <w:rsid w:val="00EE253A"/>
    <w:rsid w:val="00EE5376"/>
    <w:rsid w:val="00EF3114"/>
    <w:rsid w:val="00EF48FC"/>
    <w:rsid w:val="00EF5E47"/>
    <w:rsid w:val="00F026C5"/>
    <w:rsid w:val="00F041E6"/>
    <w:rsid w:val="00F05407"/>
    <w:rsid w:val="00F14DAA"/>
    <w:rsid w:val="00F26EF9"/>
    <w:rsid w:val="00F37EFC"/>
    <w:rsid w:val="00F40829"/>
    <w:rsid w:val="00F42CE5"/>
    <w:rsid w:val="00F501F9"/>
    <w:rsid w:val="00F50200"/>
    <w:rsid w:val="00F50579"/>
    <w:rsid w:val="00F529A7"/>
    <w:rsid w:val="00F52EA3"/>
    <w:rsid w:val="00F53074"/>
    <w:rsid w:val="00F53355"/>
    <w:rsid w:val="00F54DD8"/>
    <w:rsid w:val="00F64244"/>
    <w:rsid w:val="00F73C4A"/>
    <w:rsid w:val="00F95655"/>
    <w:rsid w:val="00F972A8"/>
    <w:rsid w:val="00FA23CA"/>
    <w:rsid w:val="00FC4513"/>
    <w:rsid w:val="00FD3993"/>
    <w:rsid w:val="00FD643B"/>
    <w:rsid w:val="00FE2787"/>
    <w:rsid w:val="00FE45EB"/>
    <w:rsid w:val="00FE5126"/>
    <w:rsid w:val="278550D4"/>
    <w:rsid w:val="4C09A074"/>
    <w:rsid w:val="70A16931"/>
  </w:rsids>
  <m:mathPr>
    <m:mathFont m:val="Cambria Math"/>
    <m:brkBin m:val="before"/>
    <m:brkBinSub m:val="--"/>
    <m:smallFrac m:val="0"/>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59183E"/>
  <w15:chartTrackingRefBased/>
  <w15:docId w15:val="{0E248C2C-8A62-487B-9C5C-65F3A5DE1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vi-VN"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uiPriority="99"/>
    <w:lsdException w:name="caption" w:semiHidden="1" w:unhideWhenUsed="1" w:qFormat="1"/>
    <w:lsdException w:name="footnote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Code"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4"/>
      <w:lang w:val="en-US" w:eastAsia="en-US"/>
    </w:rPr>
  </w:style>
  <w:style w:type="paragraph" w:styleId="Heading1">
    <w:name w:val="heading 1"/>
    <w:basedOn w:val="Normal"/>
    <w:next w:val="Normal"/>
    <w:link w:val="Heading1Char"/>
    <w:qFormat/>
    <w:rsid w:val="000E10D4"/>
    <w:pPr>
      <w:keepNext/>
      <w:spacing w:before="240" w:after="60"/>
      <w:outlineLvl w:val="0"/>
    </w:pPr>
    <w:rPr>
      <w:rFonts w:ascii="Calibri Light" w:hAnsi="Calibri Light"/>
      <w:b/>
      <w:bCs/>
      <w:kern w:val="32"/>
      <w:sz w:val="32"/>
      <w:szCs w:val="3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16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3163FF"/>
    <w:pPr>
      <w:tabs>
        <w:tab w:val="center" w:pos="4320"/>
        <w:tab w:val="right" w:pos="8640"/>
      </w:tabs>
    </w:pPr>
    <w:rPr>
      <w:sz w:val="24"/>
    </w:rPr>
  </w:style>
  <w:style w:type="character" w:styleId="PageNumber">
    <w:name w:val="page number"/>
    <w:basedOn w:val="DefaultParagraphFont"/>
    <w:rsid w:val="003163FF"/>
  </w:style>
  <w:style w:type="paragraph" w:styleId="ListParagraph">
    <w:name w:val="List Paragraph"/>
    <w:basedOn w:val="Normal"/>
    <w:qFormat/>
    <w:rsid w:val="003163FF"/>
    <w:pPr>
      <w:spacing w:after="200" w:line="276" w:lineRule="auto"/>
      <w:ind w:left="720"/>
      <w:contextualSpacing/>
    </w:pPr>
    <w:rPr>
      <w:rFonts w:ascii="Calibri" w:hAnsi="Calibri"/>
      <w:sz w:val="22"/>
      <w:szCs w:val="22"/>
    </w:rPr>
  </w:style>
  <w:style w:type="paragraph" w:customStyle="1" w:styleId="CharCharCharCharCharCharChar">
    <w:name w:val="Char Char Char Char Char Char Char"/>
    <w:autoRedefine/>
    <w:rsid w:val="003163FF"/>
    <w:pPr>
      <w:tabs>
        <w:tab w:val="left" w:pos="1152"/>
      </w:tabs>
      <w:spacing w:before="120" w:after="120" w:line="312" w:lineRule="auto"/>
    </w:pPr>
    <w:rPr>
      <w:rFonts w:ascii="Arial" w:hAnsi="Arial" w:cs="Arial"/>
      <w:sz w:val="26"/>
      <w:szCs w:val="26"/>
      <w:lang w:val="en-US" w:eastAsia="en-US"/>
    </w:rPr>
  </w:style>
  <w:style w:type="character" w:customStyle="1" w:styleId="vldocidentity">
    <w:name w:val="vl_doc_identity"/>
    <w:basedOn w:val="DefaultParagraphFont"/>
    <w:rsid w:val="003163FF"/>
  </w:style>
  <w:style w:type="character" w:customStyle="1" w:styleId="st">
    <w:name w:val="st"/>
    <w:basedOn w:val="DefaultParagraphFont"/>
    <w:rsid w:val="003163FF"/>
  </w:style>
  <w:style w:type="paragraph" w:customStyle="1" w:styleId="1CharCharCharChar">
    <w:name w:val="1 Char Char Char Char"/>
    <w:basedOn w:val="DocumentMap"/>
    <w:autoRedefine/>
    <w:rsid w:val="003163FF"/>
    <w:pPr>
      <w:widowControl w:val="0"/>
      <w:jc w:val="both"/>
    </w:pPr>
    <w:rPr>
      <w:rFonts w:eastAsia="SimSun" w:cs="Times New Roman"/>
      <w:kern w:val="2"/>
      <w:sz w:val="24"/>
      <w:szCs w:val="24"/>
      <w:lang w:eastAsia="zh-CN"/>
    </w:rPr>
  </w:style>
  <w:style w:type="paragraph" w:styleId="DocumentMap">
    <w:name w:val="Document Map"/>
    <w:basedOn w:val="Normal"/>
    <w:semiHidden/>
    <w:rsid w:val="003163FF"/>
    <w:pPr>
      <w:shd w:val="clear" w:color="auto" w:fill="000080"/>
    </w:pPr>
    <w:rPr>
      <w:rFonts w:ascii="Tahoma" w:hAnsi="Tahoma" w:cs="Tahoma"/>
      <w:sz w:val="20"/>
      <w:szCs w:val="20"/>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f"/>
    <w:basedOn w:val="Normal"/>
    <w:link w:val="FootnoteTextChar"/>
    <w:uiPriority w:val="99"/>
    <w:qFormat/>
    <w:rsid w:val="003163FF"/>
    <w:rPr>
      <w:sz w:val="20"/>
      <w:szCs w:val="20"/>
    </w:rPr>
  </w:style>
  <w:style w:type="character" w:styleId="FootnoteReference">
    <w:name w:val="footnote reference"/>
    <w:aliases w:val="Footnote,Footnote text,ftref,Ref,de nota al pie,Footnote text + 13 pt,Footnote Text1,BearingPoint,16 Point,Superscript 6 Point,fr,Footnote Text Char Char Char Char Char Char Ch Char Char Char Char Char Char C,Footnote + Arial,10 p"/>
    <w:link w:val="RefChar"/>
    <w:qFormat/>
    <w:rsid w:val="003163FF"/>
    <w:rPr>
      <w:vertAlign w:val="superscript"/>
    </w:rPr>
  </w:style>
  <w:style w:type="paragraph" w:customStyle="1" w:styleId="Char">
    <w:name w:val="Char"/>
    <w:basedOn w:val="DocumentMap"/>
    <w:autoRedefine/>
    <w:rsid w:val="003163FF"/>
    <w:pPr>
      <w:widowControl w:val="0"/>
      <w:jc w:val="both"/>
    </w:pPr>
    <w:rPr>
      <w:rFonts w:eastAsia="SimSun" w:cs="Times New Roman"/>
      <w:kern w:val="2"/>
      <w:sz w:val="24"/>
      <w:szCs w:val="24"/>
      <w:lang w:eastAsia="zh-CN"/>
    </w:rPr>
  </w:style>
  <w:style w:type="character" w:styleId="Strong">
    <w:name w:val="Strong"/>
    <w:qFormat/>
    <w:rsid w:val="003163FF"/>
    <w:rPr>
      <w:b/>
      <w:bCs/>
    </w:rPr>
  </w:style>
  <w:style w:type="character" w:customStyle="1" w:styleId="apple-style-span">
    <w:name w:val="apple-style-span"/>
    <w:basedOn w:val="DefaultParagraphFont"/>
    <w:rsid w:val="003163FF"/>
  </w:style>
  <w:style w:type="character" w:styleId="Hyperlink">
    <w:name w:val="Hyperlink"/>
    <w:uiPriority w:val="99"/>
    <w:rsid w:val="003163FF"/>
    <w:rPr>
      <w:color w:val="0000FF"/>
      <w:u w:val="single"/>
    </w:rPr>
  </w:style>
  <w:style w:type="paragraph" w:styleId="NormalWeb">
    <w:name w:val="Normal (Web)"/>
    <w:basedOn w:val="Normal"/>
    <w:uiPriority w:val="99"/>
    <w:rsid w:val="003163FF"/>
    <w:pPr>
      <w:spacing w:before="100" w:beforeAutospacing="1" w:after="100" w:afterAutospacing="1"/>
    </w:pPr>
    <w:rPr>
      <w:rFonts w:ascii="Verdana" w:hAnsi="Verdana" w:cs="Verdana"/>
      <w:sz w:val="24"/>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f Char"/>
    <w:link w:val="FootnoteText"/>
    <w:uiPriority w:val="99"/>
    <w:qFormat/>
    <w:rsid w:val="007978FA"/>
  </w:style>
  <w:style w:type="character" w:styleId="FollowedHyperlink">
    <w:name w:val="FollowedHyperlink"/>
    <w:rsid w:val="00032670"/>
    <w:rPr>
      <w:color w:val="800080"/>
      <w:u w:val="single"/>
    </w:rPr>
  </w:style>
  <w:style w:type="character" w:styleId="CommentReference">
    <w:name w:val="annotation reference"/>
    <w:rsid w:val="008D2A73"/>
    <w:rPr>
      <w:sz w:val="16"/>
      <w:szCs w:val="16"/>
    </w:rPr>
  </w:style>
  <w:style w:type="paragraph" w:styleId="CommentText">
    <w:name w:val="annotation text"/>
    <w:basedOn w:val="Normal"/>
    <w:link w:val="CommentTextChar"/>
    <w:rsid w:val="008D2A73"/>
    <w:rPr>
      <w:sz w:val="20"/>
      <w:szCs w:val="20"/>
    </w:rPr>
  </w:style>
  <w:style w:type="character" w:customStyle="1" w:styleId="CommentTextChar">
    <w:name w:val="Comment Text Char"/>
    <w:basedOn w:val="DefaultParagraphFont"/>
    <w:link w:val="CommentText"/>
    <w:rsid w:val="008D2A73"/>
  </w:style>
  <w:style w:type="paragraph" w:styleId="CommentSubject">
    <w:name w:val="annotation subject"/>
    <w:basedOn w:val="CommentText"/>
    <w:next w:val="CommentText"/>
    <w:link w:val="CommentSubjectChar"/>
    <w:rsid w:val="008D2A73"/>
    <w:rPr>
      <w:b/>
      <w:bCs/>
    </w:rPr>
  </w:style>
  <w:style w:type="character" w:customStyle="1" w:styleId="CommentSubjectChar">
    <w:name w:val="Comment Subject Char"/>
    <w:link w:val="CommentSubject"/>
    <w:rsid w:val="008D2A73"/>
    <w:rPr>
      <w:b/>
      <w:bCs/>
    </w:rPr>
  </w:style>
  <w:style w:type="paragraph" w:styleId="BalloonText">
    <w:name w:val="Balloon Text"/>
    <w:basedOn w:val="Normal"/>
    <w:link w:val="BalloonTextChar"/>
    <w:rsid w:val="008D2A73"/>
    <w:rPr>
      <w:rFonts w:ascii="Tahoma" w:hAnsi="Tahoma" w:cs="Tahoma"/>
      <w:sz w:val="16"/>
      <w:szCs w:val="16"/>
    </w:rPr>
  </w:style>
  <w:style w:type="character" w:customStyle="1" w:styleId="BalloonTextChar">
    <w:name w:val="Balloon Text Char"/>
    <w:link w:val="BalloonText"/>
    <w:rsid w:val="008D2A73"/>
    <w:rPr>
      <w:rFonts w:ascii="Tahoma" w:hAnsi="Tahoma" w:cs="Tahoma"/>
      <w:sz w:val="16"/>
      <w:szCs w:val="16"/>
    </w:rPr>
  </w:style>
  <w:style w:type="paragraph" w:styleId="Header">
    <w:name w:val="header"/>
    <w:basedOn w:val="Normal"/>
    <w:link w:val="HeaderChar"/>
    <w:uiPriority w:val="99"/>
    <w:rsid w:val="009724E0"/>
    <w:pPr>
      <w:tabs>
        <w:tab w:val="center" w:pos="4513"/>
        <w:tab w:val="right" w:pos="9026"/>
      </w:tabs>
    </w:pPr>
  </w:style>
  <w:style w:type="character" w:customStyle="1" w:styleId="HeaderChar">
    <w:name w:val="Header Char"/>
    <w:link w:val="Header"/>
    <w:uiPriority w:val="99"/>
    <w:rsid w:val="009724E0"/>
    <w:rPr>
      <w:sz w:val="28"/>
      <w:szCs w:val="24"/>
      <w:lang w:val="en-US" w:eastAsia="en-US"/>
    </w:rPr>
  </w:style>
  <w:style w:type="character" w:customStyle="1" w:styleId="Heading1Char">
    <w:name w:val="Heading 1 Char"/>
    <w:link w:val="Heading1"/>
    <w:rsid w:val="000E10D4"/>
    <w:rPr>
      <w:rFonts w:ascii="Calibri Light" w:hAnsi="Calibri Light"/>
      <w:b/>
      <w:bCs/>
      <w:kern w:val="32"/>
      <w:sz w:val="32"/>
      <w:szCs w:val="32"/>
      <w:lang w:val="vi-VN"/>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rsid w:val="009C3FFD"/>
    <w:pPr>
      <w:spacing w:after="160" w:line="240" w:lineRule="exact"/>
    </w:pPr>
    <w:rPr>
      <w:sz w:val="20"/>
      <w:szCs w:val="20"/>
      <w:vertAlign w:val="superscript"/>
    </w:rPr>
  </w:style>
  <w:style w:type="paragraph" w:styleId="Revision">
    <w:name w:val="Revision"/>
    <w:hidden/>
    <w:uiPriority w:val="99"/>
    <w:semiHidden/>
    <w:rsid w:val="000737C8"/>
    <w:rPr>
      <w:sz w:val="28"/>
      <w:szCs w:val="24"/>
      <w:lang w:val="en-US" w:eastAsia="en-US"/>
    </w:rPr>
  </w:style>
  <w:style w:type="character" w:styleId="HTMLCode">
    <w:name w:val="HTML Code"/>
    <w:uiPriority w:val="99"/>
    <w:unhideWhenUsed/>
    <w:rsid w:val="00231756"/>
    <w:rPr>
      <w:rFonts w:ascii="Courier New" w:eastAsia="Times New Roman" w:hAnsi="Courier New" w:cs="Courier New"/>
      <w:sz w:val="20"/>
      <w:szCs w:val="20"/>
    </w:rPr>
  </w:style>
  <w:style w:type="character" w:styleId="Emphasis">
    <w:name w:val="Emphasis"/>
    <w:uiPriority w:val="20"/>
    <w:qFormat/>
    <w:rsid w:val="00231756"/>
    <w:rPr>
      <w:i/>
      <w:iCs/>
    </w:rPr>
  </w:style>
  <w:style w:type="paragraph" w:styleId="HTMLPreformatted">
    <w:name w:val="HTML Preformatted"/>
    <w:basedOn w:val="Normal"/>
    <w:link w:val="HTMLPreformattedChar"/>
    <w:rsid w:val="00E92834"/>
    <w:rPr>
      <w:rFonts w:ascii="Consolas" w:hAnsi="Consolas"/>
      <w:sz w:val="20"/>
      <w:szCs w:val="20"/>
    </w:rPr>
  </w:style>
  <w:style w:type="character" w:customStyle="1" w:styleId="HTMLPreformattedChar">
    <w:name w:val="HTML Preformatted Char"/>
    <w:basedOn w:val="DefaultParagraphFont"/>
    <w:link w:val="HTMLPreformatted"/>
    <w:rsid w:val="00E92834"/>
    <w:rPr>
      <w:rFonts w:ascii="Consolas" w:hAnsi="Consolas"/>
      <w:lang w:val="en-US" w:eastAsia="en-US"/>
    </w:rPr>
  </w:style>
  <w:style w:type="character" w:customStyle="1" w:styleId="UnresolvedMention1">
    <w:name w:val="Unresolved Mention1"/>
    <w:basedOn w:val="DefaultParagraphFont"/>
    <w:uiPriority w:val="99"/>
    <w:semiHidden/>
    <w:unhideWhenUsed/>
    <w:rsid w:val="00F505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1504262">
      <w:bodyDiv w:val="1"/>
      <w:marLeft w:val="0"/>
      <w:marRight w:val="0"/>
      <w:marTop w:val="0"/>
      <w:marBottom w:val="0"/>
      <w:divBdr>
        <w:top w:val="none" w:sz="0" w:space="0" w:color="auto"/>
        <w:left w:val="none" w:sz="0" w:space="0" w:color="auto"/>
        <w:bottom w:val="none" w:sz="0" w:space="0" w:color="auto"/>
        <w:right w:val="none" w:sz="0" w:space="0" w:color="auto"/>
      </w:divBdr>
    </w:div>
    <w:div w:id="1255867365">
      <w:bodyDiv w:val="1"/>
      <w:marLeft w:val="0"/>
      <w:marRight w:val="0"/>
      <w:marTop w:val="0"/>
      <w:marBottom w:val="0"/>
      <w:divBdr>
        <w:top w:val="none" w:sz="0" w:space="0" w:color="auto"/>
        <w:left w:val="none" w:sz="0" w:space="0" w:color="auto"/>
        <w:bottom w:val="none" w:sz="0" w:space="0" w:color="auto"/>
        <w:right w:val="none" w:sz="0" w:space="0" w:color="auto"/>
      </w:divBdr>
    </w:div>
    <w:div w:id="1307206077">
      <w:bodyDiv w:val="1"/>
      <w:marLeft w:val="0"/>
      <w:marRight w:val="0"/>
      <w:marTop w:val="0"/>
      <w:marBottom w:val="0"/>
      <w:divBdr>
        <w:top w:val="none" w:sz="0" w:space="0" w:color="auto"/>
        <w:left w:val="none" w:sz="0" w:space="0" w:color="auto"/>
        <w:bottom w:val="none" w:sz="0" w:space="0" w:color="auto"/>
        <w:right w:val="none" w:sz="0" w:space="0" w:color="auto"/>
      </w:divBdr>
    </w:div>
    <w:div w:id="2130926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vbpl.vn/hanoi/pages/vbpq-timkiem.aspx?type=0&amp;s=1&amp;Keyword=33/2025/Q%C4%90-UBND&amp;SearchIn=Title,Title1&amp;IsRec=1&amp;pv=1"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520E77-77B5-4FB6-A51E-120962F3D0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20ACB75-DD82-4B3E-86A4-55800265DD67}">
  <ds:schemaRefs>
    <ds:schemaRef ds:uri="http://schemas.microsoft.com/sharepoint/v3/contenttype/forms"/>
  </ds:schemaRefs>
</ds:datastoreItem>
</file>

<file path=customXml/itemProps3.xml><?xml version="1.0" encoding="utf-8"?>
<ds:datastoreItem xmlns:ds="http://schemas.openxmlformats.org/officeDocument/2006/customXml" ds:itemID="{6D165667-448C-4742-A53A-213BB1F3F7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1</Pages>
  <Words>6204</Words>
  <Characters>35368</Characters>
  <Application>Microsoft Office Word</Application>
  <DocSecurity>0</DocSecurity>
  <Lines>294</Lines>
  <Paragraphs>82</Paragraphs>
  <ScaleCrop>false</ScaleCrop>
  <HeadingPairs>
    <vt:vector size="2" baseType="variant">
      <vt:variant>
        <vt:lpstr>Title</vt:lpstr>
      </vt:variant>
      <vt:variant>
        <vt:i4>1</vt:i4>
      </vt:variant>
    </vt:vector>
  </HeadingPairs>
  <TitlesOfParts>
    <vt:vector size="1" baseType="lpstr">
      <vt:lpstr>DỰ KIẾN PHÂN CÔNG RÀ SOÁT VĂN BẢN QUY PHẠM PHÁP LUẬT</vt:lpstr>
    </vt:vector>
  </TitlesOfParts>
  <Company>Truong</Company>
  <LinksUpToDate>false</LinksUpToDate>
  <CharactersWithSpaces>41490</CharactersWithSpaces>
  <SharedDoc>false</SharedDoc>
  <HLinks>
    <vt:vector size="6" baseType="variant">
      <vt:variant>
        <vt:i4>4522014</vt:i4>
      </vt:variant>
      <vt:variant>
        <vt:i4>0</vt:i4>
      </vt:variant>
      <vt:variant>
        <vt:i4>0</vt:i4>
      </vt:variant>
      <vt:variant>
        <vt:i4>5</vt:i4>
      </vt:variant>
      <vt:variant>
        <vt:lpwstr>https://vbpl.vn/hanoi/pages/vbpq-timkiem.aspx?type=0&amp;s=1&amp;Keyword=33/2025/Q%C4%90-UBND&amp;SearchIn=Title,Title1&amp;IsRec=1&amp;pv=1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DỰ KIẾN PHÂN CÔNG RÀ SOÁT VĂN BẢN QUY PHẠM PHÁP LUẬT</dc:title>
  <dc:creator>PC Thien IT</dc:creator>
  <cp:lastModifiedBy>Nguyen Minh Hoang </cp:lastModifiedBy>
  <cp:revision>164</cp:revision>
  <dcterms:created xsi:type="dcterms:W3CDTF">2026-04-22T02:47:00Z</dcterms:created>
  <dcterms:modified xsi:type="dcterms:W3CDTF">2026-08-05T04:24:00Z</dcterms:modified>
</cp:coreProperties>
</file>