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Thành phố Huế</w:t>
      </w:r>
    </w:p>
    <w:p w14:paraId="7CD7B812">
      <w:pPr>
        <w:jc w:val="center"/>
        <w:rPr>
          <w:bCs/>
          <w:i/>
          <w:iCs/>
          <w:sz w:val="26"/>
          <w:szCs w:val="26"/>
        </w:rPr>
      </w:pPr>
      <w:r>
        <w:rPr>
          <w:bCs/>
          <w:sz w:val="26"/>
          <w:szCs w:val="26"/>
          <w:lang w:val="en-ZW" w:eastAsia="ja-JP"/>
        </w:rPr>
        <w:t>(Kèm theo Báo cáo số: ......... ngày ......... của UBND Thành phố Huế)</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4"/>
              </w:rPr>
              <w:t>Ghi chú</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2AE9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078A8665">
            <w:pPr>
              <w:ind w:left="1080"/>
              <w:jc w:val="center"/>
              <w:rPr>
                <w:b/>
                <w:sz w:val="26"/>
                <w:szCs w:val="26"/>
              </w:rPr>
            </w:pPr>
            <w:r>
              <w:rPr>
                <w:b/>
                <w:sz w:val="26"/>
                <w:szCs w:val="26"/>
              </w:rPr>
              <w:t>I. KHOA HỌC VÀ CÔNG NGHỆ</w:t>
            </w:r>
          </w:p>
        </w:tc>
      </w:tr>
      <w:tr w14:paraId="5986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D2F22E2">
            <w:pPr>
              <w:jc w:val="center"/>
              <w:rPr>
                <w:bCs/>
                <w:iCs/>
                <w:sz w:val="26"/>
                <w:szCs w:val="26"/>
              </w:rPr>
            </w:pPr>
            <w:r>
              <w:rPr>
                <w:bCs/>
                <w:iCs/>
                <w:sz w:val="26"/>
                <w:szCs w:val="26"/>
              </w:rPr>
              <w:t>1.</w:t>
            </w:r>
          </w:p>
        </w:tc>
        <w:tc>
          <w:tcPr>
            <w:tcW w:w="1848" w:type="dxa"/>
            <w:vAlign w:val="center"/>
          </w:tcPr>
          <w:p w14:paraId="1326655B">
            <w:pPr>
              <w:jc w:val="both"/>
              <w:rPr>
                <w:bCs/>
                <w:iCs/>
                <w:sz w:val="26"/>
                <w:szCs w:val="26"/>
              </w:rPr>
            </w:pPr>
            <w:r>
              <w:rPr>
                <w:bCs/>
                <w:iCs/>
                <w:sz w:val="26"/>
                <w:szCs w:val="26"/>
              </w:rPr>
              <w:t>Nghị quyết số 21/2020/NQ-HĐND ngày 23/12/2020 của Hội đồng nhân dân tỉnh Thừa Thiên Huế Quy định nội dung và mức chi hỗ trợ hệ sinh thái khởi nghiệp đổi mới sáng tạo trên địa bàn tỉnh Thừa Thiên Huế đến năm 2025</w:t>
            </w:r>
          </w:p>
        </w:tc>
        <w:tc>
          <w:tcPr>
            <w:tcW w:w="2121" w:type="dxa"/>
            <w:vAlign w:val="center"/>
          </w:tcPr>
          <w:p w14:paraId="6CB6CE22">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30345AAB">
            <w:pPr>
              <w:jc w:val="both"/>
              <w:rPr>
                <w:bCs/>
                <w:iCs/>
                <w:sz w:val="26"/>
                <w:szCs w:val="26"/>
              </w:rPr>
            </w:pPr>
            <w:r>
              <w:rPr>
                <w:bCs/>
                <w:iCs/>
                <w:sz w:val="26"/>
                <w:szCs w:val="26"/>
              </w:rPr>
              <w:t>- Căn cứ pháp lý ban hành nghị quyết đã hết hiệu lực toàn bộ:</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Nội dung: Phạm vi điều chỉnh đã hết thời gian thực hiện: Nghị quyết này quy định nội dung và mức chi từ ngân sách nhà nước để thực hiện hỗ trợ hệ sinh thái khởi nghiệp đổi mới sáng tạo trên địa bàn tỉnh Thừa Thiên Huế đến năm 2025, nhằm triển khai thực hiện Quyết định số 844/QĐ-TTg ngày 18 tháng 5 năm 2016 của Thủ tướng Chính phủ về việc phê duyệt Đề án “Hỗ trợ hệ sinh thái khởi nghiệp đổi mới sáng tạo quốc gia đến năm 2025”.</w:t>
            </w:r>
          </w:p>
        </w:tc>
        <w:tc>
          <w:tcPr>
            <w:tcW w:w="1417" w:type="dxa"/>
            <w:vAlign w:val="center"/>
          </w:tcPr>
          <w:p w14:paraId="4BE89353">
            <w:pPr>
              <w:jc w:val="both"/>
              <w:rPr>
                <w:bCs/>
                <w:iCs/>
                <w:sz w:val="26"/>
                <w:szCs w:val="26"/>
              </w:rPr>
            </w:pPr>
            <w:r>
              <w:rPr>
                <w:bCs/>
                <w:iCs/>
                <w:sz w:val="26"/>
                <w:szCs w:val="26"/>
              </w:rPr>
              <w:t>Thay thế</w:t>
            </w:r>
          </w:p>
        </w:tc>
        <w:tc>
          <w:tcPr>
            <w:tcW w:w="1275" w:type="dxa"/>
            <w:vAlign w:val="center"/>
          </w:tcPr>
          <w:p w14:paraId="03F8CC75">
            <w:pPr>
              <w:jc w:val="both"/>
              <w:rPr>
                <w:bCs/>
                <w:iCs/>
                <w:sz w:val="26"/>
                <w:szCs w:val="26"/>
              </w:rPr>
            </w:pPr>
            <w:r>
              <w:rPr>
                <w:bCs/>
                <w:iCs/>
                <w:sz w:val="26"/>
                <w:szCs w:val="26"/>
              </w:rPr>
              <w:t>Quý II/2026</w:t>
            </w:r>
          </w:p>
        </w:tc>
        <w:tc>
          <w:tcPr>
            <w:tcW w:w="1904" w:type="dxa"/>
            <w:vAlign w:val="center"/>
          </w:tcPr>
          <w:p w14:paraId="08102EF4">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34CFED4E">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3E72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5E6EB4A">
            <w:pPr>
              <w:jc w:val="center"/>
              <w:rPr>
                <w:bCs/>
                <w:iCs/>
                <w:sz w:val="26"/>
                <w:szCs w:val="26"/>
              </w:rPr>
            </w:pPr>
            <w:r>
              <w:rPr>
                <w:bCs/>
                <w:iCs/>
                <w:sz w:val="26"/>
                <w:szCs w:val="26"/>
              </w:rPr>
              <w:t>2.</w:t>
            </w:r>
          </w:p>
        </w:tc>
        <w:tc>
          <w:tcPr>
            <w:tcW w:w="1848" w:type="dxa"/>
            <w:vAlign w:val="center"/>
          </w:tcPr>
          <w:p w14:paraId="286C55A9">
            <w:pPr>
              <w:jc w:val="both"/>
              <w:rPr>
                <w:bCs/>
                <w:iCs/>
                <w:sz w:val="26"/>
                <w:szCs w:val="26"/>
              </w:rPr>
            </w:pPr>
            <w:r>
              <w:rPr>
                <w:bCs/>
                <w:iCs/>
                <w:sz w:val="26"/>
                <w:szCs w:val="26"/>
              </w:rPr>
              <w:t>Nghị quyết số 22/2020/NQ-HĐND ngày 23/12/2020 của Hội đồng nhân dân tỉnh Thừa Thiên Huế Quy định một số chính sách hỗ trợ đổi mới, cải tiến công nghệ, chuyển giao công nghệ và phát triển tài sản trí tuệ trên địa bàn tỉnh Thừa Thiên Huế, giai đoạn 2021 - 2030</w:t>
            </w:r>
          </w:p>
        </w:tc>
        <w:tc>
          <w:tcPr>
            <w:tcW w:w="2121" w:type="dxa"/>
            <w:vAlign w:val="center"/>
          </w:tcPr>
          <w:p w14:paraId="21A79671">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501350C8">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Luật Ngân sách nhà nước số 83/2015/QH13.</w:t>
            </w:r>
            <w:r>
              <w:rPr>
                <w:bCs/>
                <w:iCs/>
                <w:sz w:val="26"/>
                <w:szCs w:val="26"/>
              </w:rPr>
              <w:br w:type="textWrapping"/>
            </w:r>
            <w:r>
              <w:rPr>
                <w:bCs/>
                <w:iCs/>
                <w:sz w:val="26"/>
                <w:szCs w:val="26"/>
              </w:rPr>
              <w:t>+ Nghị định số 39/2018/NĐ-CP Quy định chi tiết một số điều của Luật Hỗ trợ doanh nghiệp vừa và nhỏ.</w:t>
            </w:r>
            <w:r>
              <w:rPr>
                <w:bCs/>
                <w:iCs/>
                <w:sz w:val="26"/>
                <w:szCs w:val="26"/>
              </w:rPr>
              <w:br w:type="textWrapping"/>
            </w:r>
            <w:r>
              <w:rPr>
                <w:bCs/>
                <w:iCs/>
                <w:sz w:val="26"/>
                <w:szCs w:val="26"/>
              </w:rPr>
              <w:t>- Hết hiệu lực 1 phần:</w:t>
            </w:r>
            <w:r>
              <w:rPr>
                <w:bCs/>
                <w:iCs/>
                <w:sz w:val="26"/>
                <w:szCs w:val="26"/>
              </w:rPr>
              <w:br w:type="textWrapping"/>
            </w:r>
            <w:r>
              <w:rPr>
                <w:bCs/>
                <w:iCs/>
                <w:sz w:val="26"/>
                <w:szCs w:val="26"/>
              </w:rPr>
              <w:t>+ Luật Khoa học và công nghệ số 29/2013/QH13 .</w:t>
            </w:r>
            <w:r>
              <w:rPr>
                <w:bCs/>
                <w:iCs/>
                <w:sz w:val="26"/>
                <w:szCs w:val="26"/>
              </w:rPr>
              <w:br w:type="textWrapping"/>
            </w:r>
            <w:r>
              <w:rPr>
                <w:bCs/>
                <w:iCs/>
                <w:sz w:val="26"/>
                <w:szCs w:val="26"/>
              </w:rPr>
              <w:t>+ Luật Sửa đổi, bổ sung một số điều của Luật Sở hữu trí tuệ số 36/2009/QH12.</w:t>
            </w:r>
            <w:r>
              <w:rPr>
                <w:bCs/>
                <w:iCs/>
                <w:sz w:val="26"/>
                <w:szCs w:val="26"/>
              </w:rPr>
              <w:br w:type="textWrapping"/>
            </w:r>
            <w:r>
              <w:rPr>
                <w:bCs/>
                <w:iCs/>
                <w:sz w:val="26"/>
                <w:szCs w:val="26"/>
              </w:rPr>
              <w:t>+ Nghị định số 132/2008/NĐ-CP Quy định chi tiết thi hành một số điều của Luật chất lượng sản phẩm, hàng hóa.</w:t>
            </w:r>
            <w:r>
              <w:rPr>
                <w:bCs/>
                <w:iCs/>
                <w:sz w:val="26"/>
                <w:szCs w:val="26"/>
              </w:rPr>
              <w:br w:type="textWrapping"/>
            </w:r>
            <w:r>
              <w:rPr>
                <w:bCs/>
                <w:iCs/>
                <w:sz w:val="26"/>
                <w:szCs w:val="26"/>
              </w:rPr>
              <w:t>+ Luật Sở hữu trí tuệ số 50/2005/QH11.</w:t>
            </w:r>
            <w:r>
              <w:rPr>
                <w:bCs/>
                <w:iCs/>
                <w:sz w:val="26"/>
                <w:szCs w:val="26"/>
              </w:rPr>
              <w:br w:type="textWrapping"/>
            </w:r>
            <w:r>
              <w:rPr>
                <w:bCs/>
                <w:iCs/>
                <w:sz w:val="26"/>
                <w:szCs w:val="26"/>
              </w:rPr>
              <w:t>+ Luật hỗ trợ doanh nghiệp nhỏ và vừa số 04/2017/QH14</w:t>
            </w:r>
          </w:p>
        </w:tc>
        <w:tc>
          <w:tcPr>
            <w:tcW w:w="1417" w:type="dxa"/>
            <w:vAlign w:val="center"/>
          </w:tcPr>
          <w:p w14:paraId="70CD4D27">
            <w:pPr>
              <w:jc w:val="both"/>
              <w:rPr>
                <w:bCs/>
                <w:iCs/>
                <w:sz w:val="26"/>
                <w:szCs w:val="26"/>
              </w:rPr>
            </w:pPr>
            <w:r>
              <w:rPr>
                <w:bCs/>
                <w:iCs/>
                <w:sz w:val="26"/>
                <w:szCs w:val="26"/>
              </w:rPr>
              <w:t>Bãi bỏ một phần</w:t>
            </w:r>
          </w:p>
        </w:tc>
        <w:tc>
          <w:tcPr>
            <w:tcW w:w="1275" w:type="dxa"/>
            <w:vAlign w:val="center"/>
          </w:tcPr>
          <w:p w14:paraId="60CB7EE0">
            <w:pPr>
              <w:jc w:val="both"/>
              <w:rPr>
                <w:bCs/>
                <w:iCs/>
                <w:sz w:val="26"/>
                <w:szCs w:val="26"/>
              </w:rPr>
            </w:pPr>
            <w:r>
              <w:rPr>
                <w:bCs/>
                <w:iCs/>
                <w:sz w:val="26"/>
                <w:szCs w:val="26"/>
              </w:rPr>
              <w:t>Quý II/2026</w:t>
            </w:r>
          </w:p>
        </w:tc>
        <w:tc>
          <w:tcPr>
            <w:tcW w:w="1904" w:type="dxa"/>
            <w:vAlign w:val="center"/>
          </w:tcPr>
          <w:p w14:paraId="30536E71">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04F725DE">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4D25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800AF7A">
            <w:pPr>
              <w:jc w:val="center"/>
              <w:rPr>
                <w:bCs/>
                <w:iCs/>
                <w:sz w:val="26"/>
                <w:szCs w:val="26"/>
              </w:rPr>
            </w:pPr>
            <w:r>
              <w:rPr>
                <w:bCs/>
                <w:iCs/>
                <w:sz w:val="26"/>
                <w:szCs w:val="26"/>
              </w:rPr>
              <w:t>3.</w:t>
            </w:r>
          </w:p>
        </w:tc>
        <w:tc>
          <w:tcPr>
            <w:tcW w:w="1848" w:type="dxa"/>
            <w:vAlign w:val="center"/>
          </w:tcPr>
          <w:p w14:paraId="58C603F2">
            <w:pPr>
              <w:jc w:val="both"/>
              <w:rPr>
                <w:bCs/>
                <w:iCs/>
                <w:sz w:val="26"/>
                <w:szCs w:val="26"/>
              </w:rPr>
            </w:pPr>
            <w:r>
              <w:rPr>
                <w:bCs/>
                <w:iCs/>
                <w:sz w:val="26"/>
                <w:szCs w:val="26"/>
              </w:rPr>
              <w:t>Nghị quyết số 07/2025/NQ-HĐND ngày 26/02/2025 của Hội đồng nhân dân tỉnh Thừa Thiên Huế Ban hành quy định nội dung và mức chi từ ngân sách nhà nước thực hiện nhiệm vụ khoa học và công nghệ thuộc phạm vi quản lý của thành phố Huế</w:t>
            </w:r>
          </w:p>
        </w:tc>
        <w:tc>
          <w:tcPr>
            <w:tcW w:w="2121" w:type="dxa"/>
            <w:vAlign w:val="center"/>
          </w:tcPr>
          <w:p w14:paraId="4FCAF81C">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0C732BC8">
            <w:pPr>
              <w:jc w:val="both"/>
              <w:rPr>
                <w:bCs/>
                <w:iCs/>
                <w:sz w:val="26"/>
                <w:szCs w:val="26"/>
              </w:rPr>
            </w:pPr>
            <w:r>
              <w:rPr>
                <w:bCs/>
                <w:iCs/>
                <w:sz w:val="26"/>
                <w:szCs w:val="26"/>
              </w:rPr>
              <w:t>- Căn cứ pháp lý ban hành nghị quyết đã hết hiệu lực toàn bộ:</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Hết hiệu lực 1 phần:</w:t>
            </w:r>
            <w:r>
              <w:rPr>
                <w:bCs/>
                <w:iCs/>
                <w:sz w:val="26"/>
                <w:szCs w:val="26"/>
              </w:rPr>
              <w:br w:type="textWrapping"/>
            </w:r>
            <w:r>
              <w:rPr>
                <w:bCs/>
                <w:iCs/>
                <w:sz w:val="26"/>
                <w:szCs w:val="26"/>
              </w:rPr>
              <w:t>+ Luật Khoa học và công nghệ số 29/2013/QH13.</w:t>
            </w:r>
          </w:p>
        </w:tc>
        <w:tc>
          <w:tcPr>
            <w:tcW w:w="1417" w:type="dxa"/>
            <w:vAlign w:val="center"/>
          </w:tcPr>
          <w:p w14:paraId="67100EE0">
            <w:pPr>
              <w:jc w:val="both"/>
              <w:rPr>
                <w:bCs/>
                <w:iCs/>
                <w:sz w:val="26"/>
                <w:szCs w:val="26"/>
              </w:rPr>
            </w:pPr>
            <w:r>
              <w:rPr>
                <w:bCs/>
                <w:iCs/>
                <w:sz w:val="26"/>
                <w:szCs w:val="26"/>
              </w:rPr>
              <w:t>Thay thế</w:t>
            </w:r>
          </w:p>
        </w:tc>
        <w:tc>
          <w:tcPr>
            <w:tcW w:w="1275" w:type="dxa"/>
            <w:vAlign w:val="center"/>
          </w:tcPr>
          <w:p w14:paraId="13C13EA6">
            <w:pPr>
              <w:jc w:val="both"/>
              <w:rPr>
                <w:bCs/>
                <w:iCs/>
                <w:sz w:val="26"/>
                <w:szCs w:val="26"/>
              </w:rPr>
            </w:pPr>
            <w:r>
              <w:rPr>
                <w:bCs/>
                <w:iCs/>
                <w:sz w:val="26"/>
                <w:szCs w:val="26"/>
              </w:rPr>
              <w:t>Quý II/2026</w:t>
            </w:r>
          </w:p>
        </w:tc>
        <w:tc>
          <w:tcPr>
            <w:tcW w:w="1904" w:type="dxa"/>
            <w:vAlign w:val="center"/>
          </w:tcPr>
          <w:p w14:paraId="1627D45F">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3C2612F8">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1C5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F0D0F50">
            <w:pPr>
              <w:jc w:val="center"/>
              <w:rPr>
                <w:bCs/>
                <w:iCs/>
                <w:sz w:val="26"/>
                <w:szCs w:val="26"/>
              </w:rPr>
            </w:pPr>
            <w:r>
              <w:rPr>
                <w:bCs/>
                <w:iCs/>
                <w:sz w:val="26"/>
                <w:szCs w:val="26"/>
              </w:rPr>
              <w:t>4.</w:t>
            </w:r>
          </w:p>
        </w:tc>
        <w:tc>
          <w:tcPr>
            <w:tcW w:w="1848" w:type="dxa"/>
            <w:vAlign w:val="center"/>
          </w:tcPr>
          <w:p w14:paraId="6122CCE6">
            <w:pPr>
              <w:jc w:val="both"/>
              <w:rPr>
                <w:bCs/>
                <w:iCs/>
                <w:sz w:val="26"/>
                <w:szCs w:val="26"/>
              </w:rPr>
            </w:pPr>
            <w:r>
              <w:rPr>
                <w:bCs/>
                <w:iCs/>
                <w:sz w:val="26"/>
                <w:szCs w:val="26"/>
              </w:rPr>
              <w:t>Quyết định số 06/2010/QĐ-UBND ngày 28/01/2010 của Ủy ban nhân dân tỉnh Thừa Thiên Huế Về việc ban hành Quy định đảm bảo thông tin liên lạc giữa các tàu đánh bắt hải sản trên biển với các cơ quan quản lý nhà nước trên địa bàn tỉnh Thừa Thiên Huế.</w:t>
            </w:r>
          </w:p>
        </w:tc>
        <w:tc>
          <w:tcPr>
            <w:tcW w:w="2121" w:type="dxa"/>
            <w:vAlign w:val="center"/>
          </w:tcPr>
          <w:p w14:paraId="02E715BE">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56F8A9A1">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Hội đồng Nhân dân và Ủy ban Nhân dân ngày 26 tháng 11 năm 2003;</w:t>
            </w:r>
            <w:r>
              <w:rPr>
                <w:bCs/>
                <w:iCs/>
                <w:sz w:val="26"/>
                <w:szCs w:val="26"/>
              </w:rPr>
              <w:br w:type="textWrapping"/>
            </w:r>
            <w:r>
              <w:rPr>
                <w:bCs/>
                <w:iCs/>
                <w:sz w:val="26"/>
                <w:szCs w:val="26"/>
              </w:rPr>
              <w:t>+  Nghị định số 66/2005/NĐ-CP ngày 19 tháng 5 năm 2005 của Chính phủ về đảm bảo an toàn cho người và tàu cá hoạt động thuỷ sản;</w:t>
            </w:r>
            <w:r>
              <w:rPr>
                <w:bCs/>
                <w:iCs/>
                <w:sz w:val="26"/>
                <w:szCs w:val="26"/>
              </w:rPr>
              <w:br w:type="textWrapping"/>
            </w:r>
            <w:r>
              <w:rPr>
                <w:bCs/>
                <w:iCs/>
                <w:sz w:val="26"/>
                <w:szCs w:val="26"/>
              </w:rPr>
              <w:t>+ Chỉ thị số 22/2006/CT-TTg ngày 30 tháng 06 năm 2006 của Thủ tướng Chính phủ về việc tăng cường công tác đảm bảo an toàn cho hoạt động đánh bắt hải sản trên các vùng biển, đặc biệt là đánh bắt xa bờ;</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143D8634">
            <w:pPr>
              <w:jc w:val="both"/>
              <w:rPr>
                <w:bCs/>
                <w:iCs/>
                <w:sz w:val="26"/>
                <w:szCs w:val="26"/>
              </w:rPr>
            </w:pPr>
            <w:r>
              <w:rPr>
                <w:bCs/>
                <w:iCs/>
                <w:sz w:val="26"/>
                <w:szCs w:val="26"/>
              </w:rPr>
              <w:t>Thay thế</w:t>
            </w:r>
          </w:p>
        </w:tc>
        <w:tc>
          <w:tcPr>
            <w:tcW w:w="1275" w:type="dxa"/>
            <w:vAlign w:val="center"/>
          </w:tcPr>
          <w:p w14:paraId="5B337B14">
            <w:pPr>
              <w:jc w:val="both"/>
              <w:rPr>
                <w:bCs/>
                <w:iCs/>
                <w:sz w:val="26"/>
                <w:szCs w:val="26"/>
              </w:rPr>
            </w:pPr>
            <w:r>
              <w:rPr>
                <w:bCs/>
                <w:iCs/>
                <w:sz w:val="26"/>
                <w:szCs w:val="26"/>
              </w:rPr>
              <w:t>Quý II/2026</w:t>
            </w:r>
          </w:p>
        </w:tc>
        <w:tc>
          <w:tcPr>
            <w:tcW w:w="1904" w:type="dxa"/>
            <w:vAlign w:val="center"/>
          </w:tcPr>
          <w:p w14:paraId="6838B56F">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3973D2B">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159B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98F748D">
            <w:pPr>
              <w:jc w:val="center"/>
              <w:rPr>
                <w:bCs/>
                <w:iCs/>
                <w:sz w:val="26"/>
                <w:szCs w:val="26"/>
              </w:rPr>
            </w:pPr>
            <w:r>
              <w:rPr>
                <w:bCs/>
                <w:iCs/>
                <w:sz w:val="26"/>
                <w:szCs w:val="26"/>
              </w:rPr>
              <w:t>5.</w:t>
            </w:r>
          </w:p>
        </w:tc>
        <w:tc>
          <w:tcPr>
            <w:tcW w:w="1848" w:type="dxa"/>
            <w:vAlign w:val="center"/>
          </w:tcPr>
          <w:p w14:paraId="22D41719">
            <w:pPr>
              <w:jc w:val="both"/>
              <w:rPr>
                <w:bCs/>
                <w:iCs/>
                <w:sz w:val="26"/>
                <w:szCs w:val="26"/>
              </w:rPr>
            </w:pPr>
            <w:r>
              <w:rPr>
                <w:bCs/>
                <w:iCs/>
                <w:sz w:val="26"/>
                <w:szCs w:val="26"/>
              </w:rPr>
              <w:t>Quyết định số 32/2013/QĐ-UBND ngày 27/08/2013 của Ủy ban nhân dân tỉnh Thừa Thiên Huế Ban hành Quy định việc tổ chức và đảm bảo thông tin liên lạc phục vụ công tác chỉ đạo, điều hành phòng, chống thiên tai trên địa bàn tỉnh Thừa Thiên Huế</w:t>
            </w:r>
          </w:p>
        </w:tc>
        <w:tc>
          <w:tcPr>
            <w:tcW w:w="2121" w:type="dxa"/>
            <w:vAlign w:val="center"/>
          </w:tcPr>
          <w:p w14:paraId="4E1D57EA">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7F2052A1">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Hội đồng nhân dân và Ủy ban nhân dân ngày 26 tháng 11 năm 2003;</w:t>
            </w:r>
            <w:r>
              <w:rPr>
                <w:bCs/>
                <w:iCs/>
                <w:sz w:val="26"/>
                <w:szCs w:val="26"/>
              </w:rPr>
              <w:br w:type="textWrapping"/>
            </w:r>
            <w:r>
              <w:rPr>
                <w:bCs/>
                <w:iCs/>
                <w:sz w:val="26"/>
                <w:szCs w:val="26"/>
              </w:rPr>
              <w:t>+ Luật Viễn thông ngày 23 tháng 11 năm 2009;</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230EA415">
            <w:pPr>
              <w:jc w:val="both"/>
              <w:rPr>
                <w:bCs/>
                <w:iCs/>
                <w:sz w:val="26"/>
                <w:szCs w:val="26"/>
              </w:rPr>
            </w:pPr>
            <w:r>
              <w:rPr>
                <w:bCs/>
                <w:iCs/>
                <w:sz w:val="26"/>
                <w:szCs w:val="26"/>
              </w:rPr>
              <w:t>Thay thế</w:t>
            </w:r>
          </w:p>
        </w:tc>
        <w:tc>
          <w:tcPr>
            <w:tcW w:w="1275" w:type="dxa"/>
            <w:vAlign w:val="center"/>
          </w:tcPr>
          <w:p w14:paraId="49A06FCA">
            <w:pPr>
              <w:jc w:val="both"/>
              <w:rPr>
                <w:bCs/>
                <w:iCs/>
                <w:sz w:val="26"/>
                <w:szCs w:val="26"/>
              </w:rPr>
            </w:pPr>
            <w:r>
              <w:rPr>
                <w:bCs/>
                <w:iCs/>
                <w:sz w:val="26"/>
                <w:szCs w:val="26"/>
              </w:rPr>
              <w:t>Quý II/2026</w:t>
            </w:r>
          </w:p>
        </w:tc>
        <w:tc>
          <w:tcPr>
            <w:tcW w:w="1904" w:type="dxa"/>
            <w:vAlign w:val="center"/>
          </w:tcPr>
          <w:p w14:paraId="1FC84BF5">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7C2368A5">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0B5F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472ECC1">
            <w:pPr>
              <w:jc w:val="center"/>
              <w:rPr>
                <w:bCs/>
                <w:iCs/>
                <w:sz w:val="26"/>
                <w:szCs w:val="26"/>
              </w:rPr>
            </w:pPr>
            <w:r>
              <w:rPr>
                <w:bCs/>
                <w:iCs/>
                <w:sz w:val="26"/>
                <w:szCs w:val="26"/>
              </w:rPr>
              <w:t>6.</w:t>
            </w:r>
          </w:p>
        </w:tc>
        <w:tc>
          <w:tcPr>
            <w:tcW w:w="1848" w:type="dxa"/>
            <w:vAlign w:val="center"/>
          </w:tcPr>
          <w:p w14:paraId="67DC9849">
            <w:pPr>
              <w:jc w:val="both"/>
              <w:rPr>
                <w:bCs/>
                <w:iCs/>
                <w:sz w:val="26"/>
                <w:szCs w:val="26"/>
              </w:rPr>
            </w:pPr>
            <w:r>
              <w:rPr>
                <w:bCs/>
                <w:iCs/>
                <w:sz w:val="26"/>
                <w:szCs w:val="26"/>
              </w:rPr>
              <w:t>Quyết định số 65/2018/QĐ-UBND ngày 16/11/2018 của Ủy ban nhân dân tỉnh Thừa Thiên Huế Ban hành Quy định sử dụng Hệ thống Thư điện tử công vụ trong hoạt động của cơ quan nhà nước trên địa bàn tỉnh Thừa Thiên Huế</w:t>
            </w:r>
          </w:p>
        </w:tc>
        <w:tc>
          <w:tcPr>
            <w:tcW w:w="2121" w:type="dxa"/>
            <w:vAlign w:val="center"/>
          </w:tcPr>
          <w:p w14:paraId="29EC40CB">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12B96D13">
            <w:pPr>
              <w:jc w:val="both"/>
              <w:rPr>
                <w:bCs/>
                <w:iCs/>
                <w:sz w:val="26"/>
                <w:szCs w:val="26"/>
              </w:rPr>
            </w:pPr>
            <w:r>
              <w:rPr>
                <w:bCs/>
                <w:iCs/>
                <w:sz w:val="26"/>
                <w:szCs w:val="26"/>
              </w:rPr>
              <w:t>Các căn cứ pháp lý viện dẫn trong Quyết định hết hiệu lực khi Luật chuyển đổi số số 148/2025/QH15; Luật An ninh mạng số 116/2025/QH15 được áp dụng   (Luật Công nghệ thông tin số 67/2006/QH11; Luật An ninh mạng số 86/2015/QH13)</w:t>
            </w:r>
          </w:p>
        </w:tc>
        <w:tc>
          <w:tcPr>
            <w:tcW w:w="1417" w:type="dxa"/>
            <w:vAlign w:val="center"/>
          </w:tcPr>
          <w:p w14:paraId="35EDD0A4">
            <w:pPr>
              <w:jc w:val="both"/>
              <w:rPr>
                <w:bCs/>
                <w:iCs/>
                <w:sz w:val="26"/>
                <w:szCs w:val="26"/>
              </w:rPr>
            </w:pPr>
            <w:r>
              <w:rPr>
                <w:bCs/>
                <w:iCs/>
                <w:sz w:val="26"/>
                <w:szCs w:val="26"/>
              </w:rPr>
              <w:t>Thay thế</w:t>
            </w:r>
          </w:p>
        </w:tc>
        <w:tc>
          <w:tcPr>
            <w:tcW w:w="1275" w:type="dxa"/>
            <w:vAlign w:val="center"/>
          </w:tcPr>
          <w:p w14:paraId="183AD4F3">
            <w:pPr>
              <w:jc w:val="both"/>
              <w:rPr>
                <w:bCs/>
                <w:iCs/>
                <w:sz w:val="26"/>
                <w:szCs w:val="26"/>
              </w:rPr>
            </w:pPr>
            <w:r>
              <w:rPr>
                <w:bCs/>
                <w:iCs/>
                <w:sz w:val="26"/>
                <w:szCs w:val="26"/>
              </w:rPr>
              <w:t>Quý II/2026</w:t>
            </w:r>
          </w:p>
        </w:tc>
        <w:tc>
          <w:tcPr>
            <w:tcW w:w="1904" w:type="dxa"/>
            <w:vAlign w:val="center"/>
          </w:tcPr>
          <w:p w14:paraId="0693ED58">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40D03784">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2A59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3E1CF64">
            <w:pPr>
              <w:jc w:val="center"/>
              <w:rPr>
                <w:bCs/>
                <w:iCs/>
                <w:sz w:val="26"/>
                <w:szCs w:val="26"/>
              </w:rPr>
            </w:pPr>
            <w:r>
              <w:rPr>
                <w:bCs/>
                <w:iCs/>
                <w:sz w:val="26"/>
                <w:szCs w:val="26"/>
              </w:rPr>
              <w:t>7.</w:t>
            </w:r>
          </w:p>
        </w:tc>
        <w:tc>
          <w:tcPr>
            <w:tcW w:w="1848" w:type="dxa"/>
            <w:vAlign w:val="center"/>
          </w:tcPr>
          <w:p w14:paraId="6D05BDA4">
            <w:pPr>
              <w:jc w:val="both"/>
              <w:rPr>
                <w:bCs/>
                <w:iCs/>
                <w:sz w:val="26"/>
                <w:szCs w:val="26"/>
              </w:rPr>
            </w:pPr>
            <w:r>
              <w:rPr>
                <w:bCs/>
                <w:iCs/>
                <w:sz w:val="26"/>
                <w:szCs w:val="26"/>
              </w:rPr>
              <w:t>Quyết định số 25/2019/QĐ-UBND ngày 27/05/2019 của Ủy ban nhân dân tỉnh Thừa Thiên Huế ban hành quy định quản lý công nghệ trên địa bàn tỉnh Thừa Thiên Huế</w:t>
            </w:r>
          </w:p>
        </w:tc>
        <w:tc>
          <w:tcPr>
            <w:tcW w:w="2121" w:type="dxa"/>
            <w:vAlign w:val="center"/>
          </w:tcPr>
          <w:p w14:paraId="2A180571">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058536B5">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ngày 19 tháng 6 năm 2015;</w:t>
            </w:r>
            <w:r>
              <w:rPr>
                <w:bCs/>
                <w:iCs/>
                <w:sz w:val="26"/>
                <w:szCs w:val="26"/>
              </w:rPr>
              <w:br w:type="textWrapping"/>
            </w:r>
            <w:r>
              <w:rPr>
                <w:bCs/>
                <w:iCs/>
                <w:sz w:val="26"/>
                <w:szCs w:val="26"/>
              </w:rPr>
              <w:t>+ Luật Ban hành văn bản quy phạm pháp luật ngày 22 tháng 6 năm 2015;</w:t>
            </w:r>
            <w:r>
              <w:rPr>
                <w:bCs/>
                <w:iCs/>
                <w:sz w:val="26"/>
                <w:szCs w:val="26"/>
              </w:rPr>
              <w:br w:type="textWrapping"/>
            </w:r>
            <w:r>
              <w:rPr>
                <w:bCs/>
                <w:iCs/>
                <w:sz w:val="26"/>
                <w:szCs w:val="26"/>
              </w:rPr>
              <w:t>+ Luật Khoa học và Công nghệ ngày 18 tháng 6 năm 2013;</w:t>
            </w:r>
            <w:r>
              <w:rPr>
                <w:bCs/>
                <w:iCs/>
                <w:sz w:val="26"/>
                <w:szCs w:val="26"/>
              </w:rPr>
              <w:br w:type="textWrapping"/>
            </w:r>
            <w:r>
              <w:rPr>
                <w:bCs/>
                <w:iCs/>
                <w:sz w:val="26"/>
                <w:szCs w:val="26"/>
              </w:rPr>
              <w:t>+ Luật Bảo vệ môi trường ngày 23 tháng 6 năm 2014;</w:t>
            </w:r>
            <w:r>
              <w:rPr>
                <w:bCs/>
                <w:iCs/>
                <w:sz w:val="26"/>
                <w:szCs w:val="26"/>
              </w:rPr>
              <w:br w:type="textWrapping"/>
            </w:r>
            <w:r>
              <w:rPr>
                <w:bCs/>
                <w:iCs/>
                <w:sz w:val="26"/>
                <w:szCs w:val="26"/>
              </w:rPr>
              <w:t>+ Luật Đầu tư ngày 26 tháng 11 năm 2014;</w:t>
            </w:r>
            <w:r>
              <w:rPr>
                <w:bCs/>
                <w:iCs/>
                <w:sz w:val="26"/>
                <w:szCs w:val="26"/>
              </w:rPr>
              <w:br w:type="textWrapping"/>
            </w:r>
            <w:r>
              <w:rPr>
                <w:bCs/>
                <w:iCs/>
                <w:sz w:val="26"/>
                <w:szCs w:val="26"/>
              </w:rPr>
              <w:t>+ Luật Đầu tư công ngày 18 tháng 6 năm 2014;</w:t>
            </w:r>
            <w:r>
              <w:rPr>
                <w:bCs/>
                <w:iCs/>
                <w:sz w:val="26"/>
                <w:szCs w:val="26"/>
              </w:rPr>
              <w:br w:type="textWrapping"/>
            </w:r>
            <w:r>
              <w:rPr>
                <w:bCs/>
                <w:iCs/>
                <w:sz w:val="26"/>
                <w:szCs w:val="26"/>
              </w:rPr>
              <w:t>+ Luật Xây dựng ngày 18 tháng 6 năm 2014;</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086EA76F">
            <w:pPr>
              <w:jc w:val="both"/>
              <w:rPr>
                <w:bCs/>
                <w:iCs/>
                <w:sz w:val="26"/>
                <w:szCs w:val="26"/>
              </w:rPr>
            </w:pPr>
            <w:r>
              <w:rPr>
                <w:bCs/>
                <w:iCs/>
                <w:sz w:val="26"/>
                <w:szCs w:val="26"/>
              </w:rPr>
              <w:t>Thay thế</w:t>
            </w:r>
          </w:p>
        </w:tc>
        <w:tc>
          <w:tcPr>
            <w:tcW w:w="1275" w:type="dxa"/>
            <w:vAlign w:val="center"/>
          </w:tcPr>
          <w:p w14:paraId="4D8C8D65">
            <w:pPr>
              <w:jc w:val="both"/>
              <w:rPr>
                <w:bCs/>
                <w:iCs/>
                <w:sz w:val="26"/>
                <w:szCs w:val="26"/>
              </w:rPr>
            </w:pPr>
            <w:r>
              <w:rPr>
                <w:bCs/>
                <w:iCs/>
                <w:sz w:val="26"/>
                <w:szCs w:val="26"/>
              </w:rPr>
              <w:t>Quý IV/2026</w:t>
            </w:r>
          </w:p>
        </w:tc>
        <w:tc>
          <w:tcPr>
            <w:tcW w:w="1904" w:type="dxa"/>
            <w:vAlign w:val="center"/>
          </w:tcPr>
          <w:p w14:paraId="1B259842">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61E94620">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67D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E67EE4">
            <w:pPr>
              <w:jc w:val="center"/>
              <w:rPr>
                <w:bCs/>
                <w:iCs/>
                <w:sz w:val="26"/>
                <w:szCs w:val="26"/>
              </w:rPr>
            </w:pPr>
            <w:r>
              <w:rPr>
                <w:bCs/>
                <w:iCs/>
                <w:sz w:val="26"/>
                <w:szCs w:val="26"/>
              </w:rPr>
              <w:t>8.</w:t>
            </w:r>
          </w:p>
        </w:tc>
        <w:tc>
          <w:tcPr>
            <w:tcW w:w="1848" w:type="dxa"/>
            <w:vAlign w:val="center"/>
          </w:tcPr>
          <w:p w14:paraId="650712D1">
            <w:pPr>
              <w:jc w:val="both"/>
              <w:rPr>
                <w:bCs/>
                <w:iCs/>
                <w:sz w:val="26"/>
                <w:szCs w:val="26"/>
              </w:rPr>
            </w:pPr>
            <w:r>
              <w:rPr>
                <w:bCs/>
                <w:iCs/>
                <w:sz w:val="26"/>
                <w:szCs w:val="26"/>
              </w:rPr>
              <w:t>Quyết định số 62/2021/QĐ-UBND ngày 04/10/2021 của Ủy ban nhân dân tỉnh Thừa Thiên Huế Ban hành Quy định Quản lý, vận hành và tích hợp ứng dụng Hue-S</w:t>
            </w:r>
          </w:p>
        </w:tc>
        <w:tc>
          <w:tcPr>
            <w:tcW w:w="2121" w:type="dxa"/>
            <w:vAlign w:val="center"/>
          </w:tcPr>
          <w:p w14:paraId="18973ADC">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1C74A172">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Luật Giao dịch điện tử số 51/2005/QH11</w:t>
            </w:r>
            <w:r>
              <w:rPr>
                <w:bCs/>
                <w:iCs/>
                <w:sz w:val="26"/>
                <w:szCs w:val="26"/>
              </w:rPr>
              <w:br w:type="textWrapping"/>
            </w:r>
            <w:r>
              <w:rPr>
                <w:bCs/>
                <w:iCs/>
                <w:sz w:val="26"/>
                <w:szCs w:val="26"/>
              </w:rPr>
              <w:t>- Các căn cứ pháp lý viện dẫn trong Quyết định hết hiệu lực khi Luật Chuyển đổi số số 148/2025/QH15; Luật An ninh mạng số 116/2025/QH15 được áp dụng và không còn phù hợp (Luật An ninh mạng số 86/2015/QH13; Luật Công nghệ thông tin số 67/2006/QH11)</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16D1A685">
            <w:pPr>
              <w:jc w:val="both"/>
              <w:rPr>
                <w:bCs/>
                <w:iCs/>
                <w:sz w:val="26"/>
                <w:szCs w:val="26"/>
              </w:rPr>
            </w:pPr>
            <w:r>
              <w:rPr>
                <w:bCs/>
                <w:iCs/>
                <w:sz w:val="26"/>
                <w:szCs w:val="26"/>
              </w:rPr>
              <w:t>Thay thế</w:t>
            </w:r>
          </w:p>
        </w:tc>
        <w:tc>
          <w:tcPr>
            <w:tcW w:w="1275" w:type="dxa"/>
            <w:vAlign w:val="center"/>
          </w:tcPr>
          <w:p w14:paraId="4AD817BC">
            <w:pPr>
              <w:jc w:val="both"/>
              <w:rPr>
                <w:bCs/>
                <w:iCs/>
                <w:sz w:val="26"/>
                <w:szCs w:val="26"/>
              </w:rPr>
            </w:pPr>
            <w:r>
              <w:rPr>
                <w:bCs/>
                <w:iCs/>
                <w:sz w:val="26"/>
                <w:szCs w:val="26"/>
              </w:rPr>
              <w:t>Quý III/2026</w:t>
            </w:r>
          </w:p>
        </w:tc>
        <w:tc>
          <w:tcPr>
            <w:tcW w:w="1904" w:type="dxa"/>
            <w:vAlign w:val="center"/>
          </w:tcPr>
          <w:p w14:paraId="3ADE4E49">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A66CE2A">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73A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A467103">
            <w:pPr>
              <w:jc w:val="center"/>
              <w:rPr>
                <w:bCs/>
                <w:iCs/>
                <w:sz w:val="26"/>
                <w:szCs w:val="26"/>
              </w:rPr>
            </w:pPr>
            <w:r>
              <w:rPr>
                <w:bCs/>
                <w:iCs/>
                <w:sz w:val="26"/>
                <w:szCs w:val="26"/>
              </w:rPr>
              <w:t>9.</w:t>
            </w:r>
          </w:p>
        </w:tc>
        <w:tc>
          <w:tcPr>
            <w:tcW w:w="1848" w:type="dxa"/>
            <w:vAlign w:val="center"/>
          </w:tcPr>
          <w:p w14:paraId="44B6A814">
            <w:pPr>
              <w:jc w:val="both"/>
              <w:rPr>
                <w:bCs/>
                <w:iCs/>
                <w:sz w:val="26"/>
                <w:szCs w:val="26"/>
              </w:rPr>
            </w:pPr>
            <w:r>
              <w:rPr>
                <w:bCs/>
                <w:iCs/>
                <w:sz w:val="26"/>
                <w:szCs w:val="26"/>
              </w:rPr>
              <w:t>Quyết định số 30/2022/QĐ-UBND ngày 05/07/2022 của Ủy ban nhân dân tỉnh Thừa Thiên Huế Ban hành quy định triển khai hệ thống thông tin phản ánh hiện trường tỉnh Thừa Thiên Huế</w:t>
            </w:r>
          </w:p>
        </w:tc>
        <w:tc>
          <w:tcPr>
            <w:tcW w:w="2121" w:type="dxa"/>
            <w:vAlign w:val="center"/>
          </w:tcPr>
          <w:p w14:paraId="2312D3F3">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533640F1">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Các căn cứ pháp lý viện dẫn trong Quyết định hết hiệu lực khi Luật Chuyển đổi số số 148/2025/QH15 được áp dụng và không còn phù hợp với các văn bản luật hiện hành khác ( Luật Công nghệ thông tin số 67/2006/QH11)</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1E4448C4">
            <w:pPr>
              <w:jc w:val="both"/>
              <w:rPr>
                <w:bCs/>
                <w:iCs/>
                <w:sz w:val="26"/>
                <w:szCs w:val="26"/>
              </w:rPr>
            </w:pPr>
            <w:r>
              <w:rPr>
                <w:bCs/>
                <w:iCs/>
                <w:sz w:val="26"/>
                <w:szCs w:val="26"/>
              </w:rPr>
              <w:t>Thay thế</w:t>
            </w:r>
          </w:p>
        </w:tc>
        <w:tc>
          <w:tcPr>
            <w:tcW w:w="1275" w:type="dxa"/>
            <w:vAlign w:val="center"/>
          </w:tcPr>
          <w:p w14:paraId="724B7BFD">
            <w:pPr>
              <w:jc w:val="both"/>
              <w:rPr>
                <w:bCs/>
                <w:iCs/>
                <w:sz w:val="26"/>
                <w:szCs w:val="26"/>
              </w:rPr>
            </w:pPr>
            <w:r>
              <w:rPr>
                <w:bCs/>
                <w:iCs/>
                <w:sz w:val="26"/>
                <w:szCs w:val="26"/>
              </w:rPr>
              <w:t>Quý II/2026</w:t>
            </w:r>
          </w:p>
        </w:tc>
        <w:tc>
          <w:tcPr>
            <w:tcW w:w="1904" w:type="dxa"/>
            <w:vAlign w:val="center"/>
          </w:tcPr>
          <w:p w14:paraId="667CDC45">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46E856DC">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1650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DFE4148">
            <w:pPr>
              <w:jc w:val="center"/>
              <w:rPr>
                <w:bCs/>
                <w:iCs/>
                <w:sz w:val="26"/>
                <w:szCs w:val="26"/>
              </w:rPr>
            </w:pPr>
            <w:r>
              <w:rPr>
                <w:bCs/>
                <w:iCs/>
                <w:sz w:val="26"/>
                <w:szCs w:val="26"/>
              </w:rPr>
              <w:t>10.</w:t>
            </w:r>
          </w:p>
        </w:tc>
        <w:tc>
          <w:tcPr>
            <w:tcW w:w="1848" w:type="dxa"/>
            <w:vAlign w:val="center"/>
          </w:tcPr>
          <w:p w14:paraId="480CB0A8">
            <w:pPr>
              <w:jc w:val="both"/>
              <w:rPr>
                <w:bCs/>
                <w:iCs/>
                <w:sz w:val="26"/>
                <w:szCs w:val="26"/>
              </w:rPr>
            </w:pPr>
            <w:r>
              <w:rPr>
                <w:bCs/>
                <w:iCs/>
                <w:sz w:val="26"/>
                <w:szCs w:val="26"/>
              </w:rPr>
              <w:t>Quyết định số 34/2022/QĐ-UBND ngày 03/08/2022 của Ủy ban nhân dân tỉnh Thừa Thiên Huế Ban hành Quy định quản lý, vận hành và khai thác mạng tin học diện rộng tỉnh Thừa Thiên Huế</w:t>
            </w:r>
          </w:p>
        </w:tc>
        <w:tc>
          <w:tcPr>
            <w:tcW w:w="2121" w:type="dxa"/>
            <w:vAlign w:val="center"/>
          </w:tcPr>
          <w:p w14:paraId="60712612">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02512D51">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Các căn cứ pháp lý viện dẫn trong Quyết định hết hiệu lực khi Luật Chuyển đổi số số 148/2025/QH15; Luật An ninh mạng số 116/2025/QH15 được áp dụng (Luật An ninh mạng số 86/2015/QH13; Luật Công nghệ thông tin số 67/2006/QH11)</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4761F71D">
            <w:pPr>
              <w:jc w:val="both"/>
              <w:rPr>
                <w:bCs/>
                <w:iCs/>
                <w:sz w:val="26"/>
                <w:szCs w:val="26"/>
              </w:rPr>
            </w:pPr>
            <w:r>
              <w:rPr>
                <w:bCs/>
                <w:iCs/>
                <w:sz w:val="26"/>
                <w:szCs w:val="26"/>
              </w:rPr>
              <w:t>Thay thế</w:t>
            </w:r>
          </w:p>
        </w:tc>
        <w:tc>
          <w:tcPr>
            <w:tcW w:w="1275" w:type="dxa"/>
            <w:vAlign w:val="center"/>
          </w:tcPr>
          <w:p w14:paraId="07DB66A4">
            <w:pPr>
              <w:jc w:val="both"/>
              <w:rPr>
                <w:bCs/>
                <w:iCs/>
                <w:sz w:val="26"/>
                <w:szCs w:val="26"/>
              </w:rPr>
            </w:pPr>
            <w:r>
              <w:rPr>
                <w:bCs/>
                <w:iCs/>
                <w:sz w:val="26"/>
                <w:szCs w:val="26"/>
              </w:rPr>
              <w:t>Quý II/2026</w:t>
            </w:r>
          </w:p>
        </w:tc>
        <w:tc>
          <w:tcPr>
            <w:tcW w:w="1904" w:type="dxa"/>
            <w:vAlign w:val="center"/>
          </w:tcPr>
          <w:p w14:paraId="554972D4">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94AA879">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03A1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2DA0954">
            <w:pPr>
              <w:jc w:val="center"/>
              <w:rPr>
                <w:bCs/>
                <w:iCs/>
                <w:sz w:val="26"/>
                <w:szCs w:val="26"/>
              </w:rPr>
            </w:pPr>
            <w:r>
              <w:rPr>
                <w:bCs/>
                <w:iCs/>
                <w:sz w:val="26"/>
                <w:szCs w:val="26"/>
              </w:rPr>
              <w:t>11.</w:t>
            </w:r>
          </w:p>
        </w:tc>
        <w:tc>
          <w:tcPr>
            <w:tcW w:w="1848" w:type="dxa"/>
            <w:vAlign w:val="center"/>
          </w:tcPr>
          <w:p w14:paraId="384F1DAC">
            <w:pPr>
              <w:jc w:val="both"/>
              <w:rPr>
                <w:bCs/>
                <w:iCs/>
                <w:sz w:val="26"/>
                <w:szCs w:val="26"/>
              </w:rPr>
            </w:pPr>
            <w:r>
              <w:rPr>
                <w:bCs/>
                <w:iCs/>
                <w:sz w:val="26"/>
                <w:szCs w:val="26"/>
              </w:rPr>
              <w:t>Quyết định số 52/2023/QĐ-UBND ngày 27/09/2023 của Ủy ban nhân dân tỉnh Thừa Thiên Huế Sửa đổi, bổ sung một số điều của Quy định triển khai hệ thống thông tin phản ánh hiện trường tỉnh Thừa Thiên Huế ban hành kèm theo Quyết định số 30/2022/QĐ-UBND ngày 05 tháng 7 năm 2022 của Ủy ban nhân dân tỉnh Thừa Thiên Huế</w:t>
            </w:r>
          </w:p>
        </w:tc>
        <w:tc>
          <w:tcPr>
            <w:tcW w:w="2121" w:type="dxa"/>
            <w:vAlign w:val="center"/>
          </w:tcPr>
          <w:p w14:paraId="46B9970B">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4F7D4CAA">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Các căn cứ pháp lý viện dẫn trong Quyết định hết hiệu lực khi Luật Chuyển đổi số số 148/2025/QH15 được áp dụng và không còn phù hợp với các văn bản luật hiện hành khác ( Luật Công nghệ thông tin số 67/2006/QH11)</w:t>
            </w:r>
            <w:r>
              <w:rPr>
                <w:bCs/>
                <w:iCs/>
                <w:sz w:val="26"/>
                <w:szCs w:val="26"/>
              </w:rPr>
              <w:br w:type="textWrapping"/>
            </w:r>
            <w:r>
              <w:rPr>
                <w:bCs/>
                <w:iCs/>
                <w:sz w:val="26"/>
                <w:szCs w:val="26"/>
              </w:rPr>
              <w:t>- Các nội dung của Quy định kèm theo quyết định không còn phù hợp với việc tổ chức chính quyền địa phương 02 câp</w:t>
            </w:r>
          </w:p>
        </w:tc>
        <w:tc>
          <w:tcPr>
            <w:tcW w:w="1417" w:type="dxa"/>
            <w:vAlign w:val="center"/>
          </w:tcPr>
          <w:p w14:paraId="35B6CE54">
            <w:pPr>
              <w:jc w:val="both"/>
              <w:rPr>
                <w:bCs/>
                <w:iCs/>
                <w:sz w:val="26"/>
                <w:szCs w:val="26"/>
              </w:rPr>
            </w:pPr>
            <w:r>
              <w:rPr>
                <w:bCs/>
                <w:iCs/>
                <w:sz w:val="26"/>
                <w:szCs w:val="26"/>
              </w:rPr>
              <w:t>Thay thế</w:t>
            </w:r>
          </w:p>
        </w:tc>
        <w:tc>
          <w:tcPr>
            <w:tcW w:w="1275" w:type="dxa"/>
            <w:vAlign w:val="center"/>
          </w:tcPr>
          <w:p w14:paraId="3C2CE9B6">
            <w:pPr>
              <w:jc w:val="both"/>
              <w:rPr>
                <w:bCs/>
                <w:iCs/>
                <w:sz w:val="26"/>
                <w:szCs w:val="26"/>
              </w:rPr>
            </w:pPr>
            <w:r>
              <w:rPr>
                <w:bCs/>
                <w:iCs/>
                <w:sz w:val="26"/>
                <w:szCs w:val="26"/>
              </w:rPr>
              <w:t>Quý II/2026</w:t>
            </w:r>
          </w:p>
        </w:tc>
        <w:tc>
          <w:tcPr>
            <w:tcW w:w="1904" w:type="dxa"/>
            <w:vAlign w:val="center"/>
          </w:tcPr>
          <w:p w14:paraId="4C31A168">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60667808">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2DAD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D840F50">
            <w:pPr>
              <w:jc w:val="center"/>
              <w:rPr>
                <w:bCs/>
                <w:iCs/>
                <w:sz w:val="26"/>
                <w:szCs w:val="26"/>
              </w:rPr>
            </w:pPr>
            <w:r>
              <w:rPr>
                <w:bCs/>
                <w:iCs/>
                <w:sz w:val="26"/>
                <w:szCs w:val="26"/>
              </w:rPr>
              <w:t>12.</w:t>
            </w:r>
          </w:p>
        </w:tc>
        <w:tc>
          <w:tcPr>
            <w:tcW w:w="1848" w:type="dxa"/>
            <w:vAlign w:val="center"/>
          </w:tcPr>
          <w:p w14:paraId="41A8A728">
            <w:pPr>
              <w:jc w:val="both"/>
              <w:rPr>
                <w:bCs/>
                <w:iCs/>
                <w:sz w:val="26"/>
                <w:szCs w:val="26"/>
              </w:rPr>
            </w:pPr>
            <w:r>
              <w:rPr>
                <w:bCs/>
                <w:iCs/>
                <w:sz w:val="26"/>
                <w:szCs w:val="26"/>
              </w:rPr>
              <w:t>Quyết định số 54/2023/QĐ-UBND ngày 30/09/2023 của Ủy ban nhân dân tỉnh Thừa Thiên Huế Ban bành Quy định quản lý hoạt động và cung cấp thông tin trên cổng thông tin điện tử, trang thông tin điện tử của cơ quan nhà nước trên địa bàn tỉnh Thừa Thiên Huế</w:t>
            </w:r>
          </w:p>
        </w:tc>
        <w:tc>
          <w:tcPr>
            <w:tcW w:w="2121" w:type="dxa"/>
            <w:vAlign w:val="center"/>
          </w:tcPr>
          <w:p w14:paraId="14D538F1">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1CC4EAA9">
            <w:pPr>
              <w:jc w:val="both"/>
              <w:rPr>
                <w:bCs/>
                <w:iCs/>
                <w:sz w:val="26"/>
                <w:szCs w:val="26"/>
              </w:rPr>
            </w:pPr>
            <w:r>
              <w:rPr>
                <w:bCs/>
                <w:iCs/>
                <w:sz w:val="26"/>
                <w:szCs w:val="26"/>
              </w:rPr>
              <w:t>-  Các căn cứ ban hành hết hiệu lực toàn bộ,  cụ thể:</w:t>
            </w:r>
            <w:r>
              <w:rPr>
                <w:bCs/>
                <w:iCs/>
                <w:sz w:val="26"/>
                <w:szCs w:val="26"/>
              </w:rPr>
              <w:br w:type="textWrapping"/>
            </w:r>
            <w:r>
              <w:rPr>
                <w:bCs/>
                <w:iCs/>
                <w:sz w:val="26"/>
                <w:szCs w:val="26"/>
              </w:rPr>
              <w:t>+ Luật Tổ chức chính quyền địa phương số 77/2015/QH13</w:t>
            </w:r>
            <w:r>
              <w:rPr>
                <w:bCs/>
                <w:iCs/>
                <w:sz w:val="26"/>
                <w:szCs w:val="26"/>
              </w:rPr>
              <w:br w:type="textWrapping"/>
            </w:r>
            <w:r>
              <w:rPr>
                <w:bCs/>
                <w:iCs/>
                <w:sz w:val="26"/>
                <w:szCs w:val="26"/>
              </w:rPr>
              <w:t>+ Luật sửa đổi, bổ sung một số điều của Luật Tổ chức Chính phủ và Luật Tổ chức chính quyền địa phương số 47/2019/QH14;</w:t>
            </w:r>
            <w:r>
              <w:rPr>
                <w:bCs/>
                <w:iCs/>
                <w:sz w:val="26"/>
                <w:szCs w:val="26"/>
              </w:rPr>
              <w:br w:type="textWrapping"/>
            </w:r>
            <w:r>
              <w:rPr>
                <w:bCs/>
                <w:iCs/>
                <w:sz w:val="26"/>
                <w:szCs w:val="26"/>
              </w:rPr>
              <w:t>+ Luật Giao dịch điện tử số 51/2005/QH11</w:t>
            </w:r>
            <w:r>
              <w:rPr>
                <w:bCs/>
                <w:iCs/>
                <w:sz w:val="26"/>
                <w:szCs w:val="26"/>
              </w:rPr>
              <w:br w:type="textWrapping"/>
            </w:r>
            <w:r>
              <w:rPr>
                <w:bCs/>
                <w:iCs/>
                <w:sz w:val="26"/>
                <w:szCs w:val="26"/>
              </w:rPr>
              <w:t>-  Các căn cứ pháp lý viện dẫn trong Quyết định hết hiệu lực khi Luật Chuyển đổi số số 148/2025/QH15; Luật An ninh mạng số 116/2025/QH15 được áp dụng và không còn phù hợp (Luật An ninh mạng số 86/2015/QH13; Luật Công nghệ thông tin số 67/2006/QH11)</w:t>
            </w:r>
            <w:r>
              <w:rPr>
                <w:bCs/>
                <w:iCs/>
                <w:sz w:val="26"/>
                <w:szCs w:val="26"/>
              </w:rPr>
              <w:br w:type="textWrapping"/>
            </w:r>
            <w:r>
              <w:rPr>
                <w:bCs/>
                <w:iCs/>
                <w:sz w:val="26"/>
                <w:szCs w:val="26"/>
              </w:rPr>
              <w:t>- Các quy định kèm theo quyết định không còn phù hợp với việc tổ chức chính quyền địa phương 02 câp</w:t>
            </w:r>
          </w:p>
        </w:tc>
        <w:tc>
          <w:tcPr>
            <w:tcW w:w="1417" w:type="dxa"/>
            <w:vAlign w:val="center"/>
          </w:tcPr>
          <w:p w14:paraId="4B2CB20F">
            <w:pPr>
              <w:jc w:val="both"/>
              <w:rPr>
                <w:bCs/>
                <w:iCs/>
                <w:sz w:val="26"/>
                <w:szCs w:val="26"/>
              </w:rPr>
            </w:pPr>
            <w:r>
              <w:rPr>
                <w:bCs/>
                <w:iCs/>
                <w:sz w:val="26"/>
                <w:szCs w:val="26"/>
              </w:rPr>
              <w:t>Thay thế</w:t>
            </w:r>
          </w:p>
        </w:tc>
        <w:tc>
          <w:tcPr>
            <w:tcW w:w="1275" w:type="dxa"/>
            <w:vAlign w:val="center"/>
          </w:tcPr>
          <w:p w14:paraId="45A14C17">
            <w:pPr>
              <w:jc w:val="both"/>
              <w:rPr>
                <w:bCs/>
                <w:iCs/>
                <w:sz w:val="26"/>
                <w:szCs w:val="26"/>
              </w:rPr>
            </w:pPr>
            <w:r>
              <w:rPr>
                <w:bCs/>
                <w:iCs/>
                <w:sz w:val="26"/>
                <w:szCs w:val="26"/>
              </w:rPr>
              <w:t>Quý IV</w:t>
            </w:r>
            <w:bookmarkStart w:id="3" w:name="_GoBack"/>
            <w:bookmarkEnd w:id="3"/>
            <w:r>
              <w:rPr>
                <w:bCs/>
                <w:iCs/>
                <w:sz w:val="26"/>
                <w:szCs w:val="26"/>
              </w:rPr>
              <w:t>/2026</w:t>
            </w:r>
          </w:p>
        </w:tc>
        <w:tc>
          <w:tcPr>
            <w:tcW w:w="1904" w:type="dxa"/>
            <w:vAlign w:val="center"/>
          </w:tcPr>
          <w:p w14:paraId="62DD2460">
            <w:pPr>
              <w:jc w:val="both"/>
              <w:rPr>
                <w:bCs/>
                <w:iCs/>
                <w:sz w:val="26"/>
                <w:szCs w:val="26"/>
              </w:rPr>
            </w:pPr>
            <w:r>
              <w:rPr>
                <w:bCs/>
                <w:iCs/>
                <w:sz w:val="26"/>
                <w:szCs w:val="26"/>
              </w:rPr>
              <w:t xml:space="preserve">Tiêu chí 1.2 - Tiêu chí về khoa học, công nghệ </w:t>
            </w:r>
          </w:p>
        </w:tc>
        <w:tc>
          <w:tcPr>
            <w:tcW w:w="1710" w:type="dxa"/>
            <w:shd w:val="clear"/>
            <w:vAlign w:val="center"/>
          </w:tcPr>
          <w:p w14:paraId="7A73C7B6">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135B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833BA93">
            <w:pPr>
              <w:jc w:val="center"/>
              <w:rPr>
                <w:bCs/>
                <w:iCs/>
                <w:sz w:val="26"/>
                <w:szCs w:val="26"/>
              </w:rPr>
            </w:pPr>
            <w:r>
              <w:rPr>
                <w:bCs/>
                <w:iCs/>
                <w:sz w:val="26"/>
                <w:szCs w:val="26"/>
              </w:rPr>
              <w:t>13.</w:t>
            </w:r>
          </w:p>
        </w:tc>
        <w:tc>
          <w:tcPr>
            <w:tcW w:w="1848" w:type="dxa"/>
            <w:vAlign w:val="center"/>
          </w:tcPr>
          <w:p w14:paraId="035D3D4A">
            <w:pPr>
              <w:jc w:val="both"/>
              <w:rPr>
                <w:bCs/>
                <w:iCs/>
                <w:sz w:val="26"/>
                <w:szCs w:val="26"/>
              </w:rPr>
            </w:pPr>
            <w:r>
              <w:rPr>
                <w:bCs/>
                <w:iCs/>
                <w:sz w:val="26"/>
                <w:szCs w:val="26"/>
              </w:rPr>
              <w:t>Quyết định số 71/2025/QĐ-CTUBND ngày 18/08/2025 của Chủ tịch Ủy ban nhân dân thành phố Huế Quy chế quản lý, vận hành và khai thác Hệ thống thông tin giải quyết thủ tục hành chính thành phố Huế</w:t>
            </w:r>
          </w:p>
        </w:tc>
        <w:tc>
          <w:tcPr>
            <w:tcW w:w="2121" w:type="dxa"/>
            <w:vAlign w:val="center"/>
          </w:tcPr>
          <w:p w14:paraId="3CE0768A">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p>
        </w:tc>
        <w:tc>
          <w:tcPr>
            <w:tcW w:w="4003" w:type="dxa"/>
            <w:vAlign w:val="center"/>
          </w:tcPr>
          <w:p w14:paraId="11B5C5FF">
            <w:pPr>
              <w:jc w:val="both"/>
              <w:rPr>
                <w:bCs/>
                <w:iCs/>
                <w:sz w:val="26"/>
                <w:szCs w:val="26"/>
              </w:rPr>
            </w:pPr>
            <w:r>
              <w:rPr>
                <w:bCs/>
                <w:iCs/>
                <w:sz w:val="26"/>
                <w:szCs w:val="26"/>
              </w:rPr>
              <w:t>Các căn cứ pháp lý viện dẫn trong Quyết định hết hiệu lực khi Luật Chuyển đổi số số 148/2025/QH15 được áp dụng, cụ thể tại Điều 5 của Quy chế:</w:t>
            </w:r>
            <w:r>
              <w:rPr>
                <w:bCs/>
                <w:iCs/>
                <w:sz w:val="26"/>
                <w:szCs w:val="26"/>
              </w:rPr>
              <w:br w:type="textWrapping"/>
            </w:r>
            <w:r>
              <w:rPr>
                <w:bCs/>
                <w:iCs/>
                <w:sz w:val="26"/>
                <w:szCs w:val="26"/>
              </w:rPr>
              <w:t>“Điều 5. Những hành vi bị nghiêm cấm khi tham gia Hệ thống thông tin giải quyết thủ tục hành chính thành phố</w:t>
            </w:r>
            <w:r>
              <w:rPr>
                <w:bCs/>
                <w:iCs/>
                <w:sz w:val="26"/>
                <w:szCs w:val="26"/>
              </w:rPr>
              <w:br w:type="textWrapping"/>
            </w:r>
            <w:r>
              <w:rPr>
                <w:bCs/>
                <w:iCs/>
                <w:sz w:val="26"/>
                <w:szCs w:val="26"/>
              </w:rPr>
              <w:t>Thực hiện theo quy định tại Điều 12 Luật Công nghệ thông tin số 67/2006/QH11, Điều 7 Luật An toàn thông tin mạng số 86/2015/QH13, Điều 8 Luật An ninh mạng số 24/2018/QH14, Điều 6 Luật Giao dịch điện tử số 20/2023/QH15, Điều 5 Nghị định số 118/2025/NĐ-CP.”</w:t>
            </w:r>
          </w:p>
        </w:tc>
        <w:tc>
          <w:tcPr>
            <w:tcW w:w="1417" w:type="dxa"/>
            <w:vAlign w:val="center"/>
          </w:tcPr>
          <w:p w14:paraId="5B3473E5">
            <w:pPr>
              <w:jc w:val="both"/>
              <w:rPr>
                <w:bCs/>
                <w:iCs/>
                <w:sz w:val="26"/>
                <w:szCs w:val="26"/>
              </w:rPr>
            </w:pPr>
            <w:r>
              <w:rPr>
                <w:bCs/>
                <w:iCs/>
                <w:sz w:val="26"/>
                <w:szCs w:val="26"/>
              </w:rPr>
              <w:t>Thay thế</w:t>
            </w:r>
          </w:p>
        </w:tc>
        <w:tc>
          <w:tcPr>
            <w:tcW w:w="1275" w:type="dxa"/>
            <w:vAlign w:val="center"/>
          </w:tcPr>
          <w:p w14:paraId="39D53AB3">
            <w:pPr>
              <w:jc w:val="both"/>
              <w:rPr>
                <w:bCs/>
                <w:iCs/>
                <w:sz w:val="26"/>
                <w:szCs w:val="26"/>
              </w:rPr>
            </w:pPr>
            <w:r>
              <w:rPr>
                <w:bCs/>
                <w:iCs/>
                <w:sz w:val="26"/>
                <w:szCs w:val="26"/>
              </w:rPr>
              <w:t>Quý III/2026</w:t>
            </w:r>
          </w:p>
        </w:tc>
        <w:tc>
          <w:tcPr>
            <w:tcW w:w="1904" w:type="dxa"/>
            <w:vAlign w:val="center"/>
          </w:tcPr>
          <w:p w14:paraId="1C7E556B">
            <w:pPr>
              <w:jc w:val="both"/>
              <w:rPr>
                <w:bCs/>
                <w:iCs/>
                <w:sz w:val="26"/>
                <w:szCs w:val="26"/>
              </w:rPr>
            </w:pPr>
            <w:r>
              <w:rPr>
                <w:bCs/>
                <w:iCs/>
                <w:sz w:val="26"/>
                <w:szCs w:val="26"/>
              </w:rPr>
              <w:t xml:space="preserve">Tiêu chí 1.2 - Tiêu chí về khoa học, công nghệ; Tiêu chí 4.2 </w:t>
            </w:r>
          </w:p>
        </w:tc>
        <w:tc>
          <w:tcPr>
            <w:tcW w:w="1710" w:type="dxa"/>
            <w:shd w:val="clear"/>
            <w:vAlign w:val="center"/>
          </w:tcPr>
          <w:p w14:paraId="2713B04E">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13 văn bản</w:t>
            </w:r>
          </w:p>
        </w:tc>
      </w:tr>
    </w:tbl>
    <w:p w14:paraId="04B707E7">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5194178"/>
      <w:bookmarkStart w:id="2" w:name="_Hlk226971132"/>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52CD227C"/>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11</Pages>
  <Words>3527</Words>
  <Characters>13094</Characters>
  <Lines>67</Lines>
  <Paragraphs>18</Paragraphs>
  <TotalTime>0</TotalTime>
  <ScaleCrop>false</ScaleCrop>
  <LinksUpToDate>false</LinksUpToDate>
  <CharactersWithSpaces>16459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2026-08-04T17:07:36Z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D197737503D14D56A97E46E5579BC891_12</vt:lpwstr>
  </property>
</Properties>
</file>