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EC538" w14:textId="51B5C8B7" w:rsidR="00DE5969" w:rsidRPr="00201846" w:rsidRDefault="00BA25BB" w:rsidP="00661F93">
      <w:pPr>
        <w:ind w:right="-13"/>
        <w:jc w:val="center"/>
        <w:rPr>
          <w:b/>
          <w:szCs w:val="28"/>
        </w:rPr>
      </w:pPr>
      <w:bookmarkStart w:id="0" w:name="_Hlk227596059"/>
      <w:bookmarkEnd w:id="0"/>
      <w:r>
        <w:rPr>
          <w:b/>
          <w:szCs w:val="28"/>
        </w:rPr>
        <w:t>Mẫu 06-T</w:t>
      </w:r>
    </w:p>
    <w:p w14:paraId="6DB1D9BF" w14:textId="6176E95F"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14:paraId="2797FC14" w14:textId="77777777"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14:paraId="644A0591" w14:textId="77777777"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14:paraId="521E8111" w14:textId="77777777"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14:paraId="617D90AF" w14:textId="77777777"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14:paraId="36BB918F" w14:textId="42FBA9CD"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529A9C6F" w14:textId="77777777"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14:paraId="3117A4F6" w14:textId="77777777" w:rsidR="00B50F78" w:rsidRDefault="00B50F78" w:rsidP="00661F93">
      <w:pPr>
        <w:shd w:val="clear" w:color="auto" w:fill="FFFFFF"/>
        <w:jc w:val="center"/>
        <w:rPr>
          <w:b/>
          <w:bCs/>
          <w:szCs w:val="28"/>
        </w:rPr>
      </w:pPr>
      <w:r>
        <w:rPr>
          <w:b/>
          <w:bCs/>
          <w:szCs w:val="28"/>
        </w:rPr>
        <w:t>DANH MỤC</w:t>
      </w:r>
    </w:p>
    <w:p w14:paraId="64E289AB" w14:textId="78026EF8"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14:paraId="13E6C665" w14:textId="1B06F7F1"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Tỉnh Nghệ An</w:t>
      </w:r>
    </w:p>
    <w:p w14:paraId="51D44115" w14:textId="2FED5C00" w:rsidR="00C90D01" w:rsidRDefault="00C90D01" w:rsidP="00C90D01">
      <w:pPr>
        <w:jc w:val="center"/>
        <w:rPr>
          <w:bCs/>
          <w:i/>
          <w:iCs/>
          <w:sz w:val="26"/>
          <w:szCs w:val="26"/>
        </w:rPr>
      </w:pPr>
      <w:r>
        <w:rPr>
          <w:bCs/>
          <w:i/>
          <w:iCs/>
          <w:sz w:val="26"/>
          <w:szCs w:val="26"/>
        </w:rPr>
        <w:t>(Kèm theo Báo cáo số: ......... ngày ......... của UBND Tỉnh Nghệ An)</w:t>
      </w:r>
    </w:p>
    <w:bookmarkEnd w:id="1"/>
    <w:p w14:paraId="10B82717" w14:textId="77777777"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14:paraId="286964B1" w14:textId="77777777" w:rsidTr="00BE03DE">
        <w:trPr>
          <w:trHeight w:val="854"/>
          <w:tblHeader/>
        </w:trPr>
        <w:tc>
          <w:tcPr>
            <w:tcW w:w="959" w:type="dxa"/>
            <w:shd w:val="clear" w:color="auto" w:fill="F7CAAC" w:themeFill="accent2" w:themeFillTint="66"/>
            <w:vAlign w:val="center"/>
          </w:tcPr>
          <w:p w14:paraId="21830D50" w14:textId="77777777"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14:paraId="3BA28291" w14:textId="77777777"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14:paraId="6477B99C" w14:textId="77777777"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14:paraId="0155E94F" w14:textId="77777777" w:rsidR="00BE03DE" w:rsidRDefault="00BE03DE" w:rsidP="00BE03DE">
            <w:pPr>
              <w:jc w:val="center"/>
              <w:rPr>
                <w:b/>
                <w:bCs/>
                <w:sz w:val="24"/>
              </w:rPr>
            </w:pPr>
            <w:r>
              <w:rPr>
                <w:b/>
                <w:bCs/>
                <w:sz w:val="24"/>
              </w:rPr>
              <w:t>Phân tích lý do đề xuất</w:t>
            </w:r>
          </w:p>
          <w:p w14:paraId="601873B5" w14:textId="57E43F49"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14:paraId="1254CD93" w14:textId="77777777" w:rsidR="00BE03DE" w:rsidRPr="007E433C" w:rsidRDefault="00BE03DE" w:rsidP="00BE03DE">
            <w:pPr>
              <w:jc w:val="center"/>
              <w:rPr>
                <w:b/>
                <w:bCs/>
                <w:iCs/>
                <w:sz w:val="24"/>
              </w:rPr>
            </w:pPr>
            <w:r w:rsidRPr="007E433C">
              <w:rPr>
                <w:b/>
                <w:bCs/>
                <w:iCs/>
                <w:sz w:val="24"/>
              </w:rPr>
              <w:t>Lộ trình</w:t>
            </w:r>
          </w:p>
          <w:p w14:paraId="251BBF05" w14:textId="5A5F4C4E"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14:paraId="13704C84" w14:textId="4B444DEB"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14:paraId="56342A4F" w14:textId="53D6A112" w:rsidR="00BE03DE" w:rsidRPr="007E433C" w:rsidRDefault="00BE03DE" w:rsidP="006A3393">
            <w:pPr>
              <w:jc w:val="center"/>
              <w:rPr>
                <w:b/>
                <w:bCs/>
                <w:iCs/>
                <w:sz w:val="24"/>
              </w:rPr>
            </w:pPr>
            <w:r w:rsidRPr="007E433C">
              <w:rPr>
                <w:b/>
                <w:bCs/>
                <w:iCs/>
                <w:sz w:val="24"/>
              </w:rPr>
              <w:t>Ghi chú</w:t>
            </w:r>
          </w:p>
        </w:tc>
      </w:tr>
      <w:tr w:rsidR="00BE03DE" w:rsidRPr="007E433C" w14:paraId="5D5A8F43" w14:textId="77777777" w:rsidTr="00BE03DE">
        <w:trPr>
          <w:tblHeader/>
        </w:trPr>
        <w:tc>
          <w:tcPr>
            <w:tcW w:w="959" w:type="dxa"/>
            <w:shd w:val="clear" w:color="auto" w:fill="F7CAAC" w:themeFill="accent2" w:themeFillTint="66"/>
          </w:tcPr>
          <w:p w14:paraId="6E4893D8" w14:textId="77777777"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14:paraId="715CB27D" w14:textId="77777777"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14:paraId="0C384A58" w14:textId="77777777"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14:paraId="6688B8DB" w14:textId="77777777"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14:paraId="26288DD1" w14:textId="77777777"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14:paraId="7CD53FBF" w14:textId="77777777"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14:paraId="1BFB84C4" w14:textId="77777777" w:rsidR="00BE03DE" w:rsidRPr="007E433C" w:rsidRDefault="00BE03DE" w:rsidP="006A3393">
            <w:pPr>
              <w:jc w:val="center"/>
              <w:rPr>
                <w:b/>
                <w:bCs/>
                <w:iCs/>
                <w:sz w:val="24"/>
              </w:rPr>
            </w:pPr>
            <w:r w:rsidRPr="007E433C">
              <w:rPr>
                <w:b/>
                <w:bCs/>
                <w:iCs/>
                <w:sz w:val="24"/>
              </w:rPr>
              <w:t>(7)</w:t>
            </w:r>
          </w:p>
        </w:tc>
      </w:tr>
      <w:bookmarkEnd w:id="2"/>
      <w:tr>
        <w:trPr>
          <w:trHeight w:val="315"/>
        </w:trPr>
        <w:tc>
          <w:tcPr>
            <w:tcW w:w="14575" w:type="dxa"/>
            <w:gridSpan w:val="7"/>
            <w:vAlign w:val="center"/>
          </w:tcPr>
          <w:p>
            <w:pPr>
              <w:ind w:left="1080"/>
              <w:jc w:val="center"/>
              <w:rPr>
                <w:b/>
                <w:sz w:val="26"/>
                <w:szCs w:val="26"/>
              </w:rPr>
            </w:pPr>
            <w:r>
              <w:rPr>
                <w:b/>
                <w:sz w:val="26"/>
                <w:szCs w:val="26"/>
              </w:rPr>
              <w:t>I. KHOA HỌC VÀ CÔNG NGHỆ</w:t>
            </w:r>
          </w:p>
        </w:tc>
      </w:tr>
      <w:tr>
        <w:tc>
          <w:tcPr>
            <w:tcW w:w="959" w:type="dxa"/>
            <w:vAlign w:val="center"/>
          </w:tcPr>
          <w:p>
            <w:pPr>
              <w:jc w:val="center"/>
              <w:rPr>
                <w:bCs/>
                <w:iCs/>
                <w:sz w:val="26"/>
                <w:szCs w:val="26"/>
              </w:rPr>
            </w:pPr>
            <w:r>
              <w:rPr>
                <w:bCs/>
                <w:iCs/>
                <w:sz w:val="26"/>
                <w:szCs w:val="26"/>
              </w:rPr>
              <w:t>1.</w:t>
            </w:r>
          </w:p>
        </w:tc>
        <w:tc>
          <w:tcPr>
            <w:tcW w:w="1826" w:type="dxa"/>
            <w:vAlign w:val="center"/>
          </w:tcPr>
          <w:p>
            <w:pPr>
              <w:jc w:val="both"/>
              <w:rPr>
                <w:bCs/>
                <w:iCs/>
                <w:sz w:val="26"/>
                <w:szCs w:val="26"/>
              </w:rPr>
            </w:pPr>
            <w:r>
              <w:rPr>
                <w:bCs/>
                <w:iCs/>
                <w:sz w:val="26"/>
                <w:szCs w:val="26"/>
              </w:rPr>
              <w:t>Nghị quyết số 03/2020/NQ-HĐND ngày 22/07/2020 của Hội đồng nhân dân tỉnh Quy định một số chính sách hỗ trợ tổ chức, cá nhân đầu tư, đổi mới công nghệ, ứng dụng tiến bộ khoa học và công nghệ trên địa bàn tỉnh Nghệ An</w:t>
            </w:r>
          </w:p>
        </w:tc>
        <w:tc>
          <w:tcPr>
            <w:tcW w:w="2143" w:type="dxa"/>
            <w:vAlign w:val="center"/>
          </w:tcPr>
          <w:p>
            <w:pPr>
              <w:jc w:val="both"/>
              <w:rPr>
                <w:bCs/>
                <w:iCs/>
                <w:sz w:val="26"/>
                <w:szCs w:val="26"/>
              </w:rPr>
            </w:pPr>
            <w:r>
              <w:rPr>
                <w:bCs/>
                <w:iCs/>
                <w:sz w:val="26"/>
                <w:szCs w:val="26"/>
              </w:rPr>
              <w:t>Luật Khoa học, công nghệ và đổi mới sáng tạo số 93/2025/QH15; Luật sửa đổi, bổ sung một số điều của Luật Chuyển giao công nghệ số 115/2025/QH15; Luật Chuyển đổi số 148/2025/QH15; Nghị định số 265/2025/NĐ-CP; số 267/2025/NĐ-CP; 268/2025/NĐ-CP</w:t>
            </w:r>
          </w:p>
        </w:tc>
        <w:tc>
          <w:tcPr>
            <w:tcW w:w="3077" w:type="dxa"/>
            <w:vAlign w:val="center"/>
          </w:tcPr>
          <w:p>
            <w:pPr>
              <w:jc w:val="both"/>
              <w:rPr>
                <w:bCs/>
                <w:iCs/>
                <w:sz w:val="26"/>
                <w:szCs w:val="26"/>
              </w:rPr>
            </w:pPr>
            <w:r>
              <w:rPr>
                <w:bCs/>
                <w:iCs/>
                <w:sz w:val="26"/>
                <w:szCs w:val="26"/>
              </w:rPr>
              <w:t>Nội dung, quy định của VBQPPL mâu thuẫn, chồng chéo, không thống nhất, không còn phù hợp với quy định của văn bản là căn cứ rà soát.</w:t>
            </w:r>
          </w:p>
        </w:tc>
        <w:tc>
          <w:tcPr>
            <w:tcW w:w="1980" w:type="dxa"/>
            <w:vAlign w:val="center"/>
          </w:tcPr>
          <w:p>
            <w:pPr>
              <w:jc w:val="both"/>
              <w:rPr>
                <w:bCs/>
                <w:iCs/>
                <w:sz w:val="26"/>
                <w:szCs w:val="26"/>
              </w:rPr>
            </w:pPr>
            <w:r>
              <w:rPr>
                <w:bCs/>
                <w:iCs/>
                <w:sz w:val="26"/>
                <w:szCs w:val="26"/>
              </w:rPr>
              <w:t>2026-2027</w:t>
            </w:r>
          </w:p>
        </w:tc>
        <w:tc>
          <w:tcPr>
            <w:tcW w:w="2610" w:type="dxa"/>
            <w:vAlign w:val="center"/>
          </w:tcPr>
          <w:p>
            <w:pPr>
              <w:jc w:val="both"/>
              <w:rPr>
                <w:bCs/>
                <w:iCs/>
                <w:sz w:val="26"/>
                <w:szCs w:val="26"/>
              </w:rPr>
            </w:pPr>
            <w:r>
              <w:rPr>
                <w:bCs/>
                <w:iCs/>
                <w:sz w:val="26"/>
                <w:szCs w:val="26"/>
              </w:rPr>
              <w:t>Tiêu chí 1.1 - Tiêu chí về tổ chức bộ máy; Tiêu chí 1.2 - Tiêu chí về khoa học, công nghệ</w:t>
            </w:r>
          </w:p>
        </w:tc>
        <w:tc>
          <w:tcPr>
            <w:tcW w:w="1980" w:type="dxa"/>
            <w:vAlign w:val="center"/>
          </w:tcPr>
          <w:p>
            <w:pPr>
              <w:jc w:val="both"/>
              <w:rPr>
                <w:bCs/>
                <w:iCs/>
                <w:sz w:val="26"/>
                <w:szCs w:val="26"/>
              </w:rPr>
            </w:pPr>
            <w:r>
              <w:rPr>
                <w:bCs/>
                <w:iCs/>
                <w:sz w:val="26"/>
                <w:szCs w:val="26"/>
              </w:rPr>
              <w:t xml:space="preserve"> </w:t>
            </w:r>
          </w:p>
        </w:tc>
      </w:tr>
      <w:tr>
        <w:tc>
          <w:tcPr>
            <w:tcW w:w="959" w:type="dxa"/>
            <w:vAlign w:val="center"/>
          </w:tcPr>
          <w:p>
            <w:pPr>
              <w:jc w:val="center"/>
              <w:rPr>
                <w:bCs/>
                <w:iCs/>
                <w:sz w:val="26"/>
                <w:szCs w:val="26"/>
              </w:rPr>
            </w:pPr>
            <w:r>
              <w:rPr>
                <w:bCs/>
                <w:iCs/>
                <w:sz w:val="26"/>
                <w:szCs w:val="26"/>
              </w:rPr>
              <w:t>2.</w:t>
            </w:r>
          </w:p>
        </w:tc>
        <w:tc>
          <w:tcPr>
            <w:tcW w:w="1826" w:type="dxa"/>
            <w:vAlign w:val="center"/>
          </w:tcPr>
          <w:p>
            <w:pPr>
              <w:jc w:val="both"/>
              <w:rPr>
                <w:bCs/>
                <w:iCs/>
                <w:sz w:val="26"/>
                <w:szCs w:val="26"/>
              </w:rPr>
            </w:pPr>
            <w:r>
              <w:rPr>
                <w:bCs/>
                <w:iCs/>
                <w:sz w:val="26"/>
                <w:szCs w:val="26"/>
              </w:rPr>
              <w:t>Nghị quyết số 11/2024/NQ-HĐND ngày 11/07/2024 của Hội đồng nhân dân tỉnh Quy định thẩm quyền quyết định việc mua sắm tài sản của các nhiệm vụ khoa học và công nghệ, hàng hóa dịch vụ thuộc dự án mua sắm trong phạm vi quản lý của tỉnh Nghệ An</w:t>
            </w:r>
          </w:p>
        </w:tc>
        <w:tc>
          <w:tcPr>
            <w:tcW w:w="2143" w:type="dxa"/>
            <w:vAlign w:val="center"/>
          </w:tcPr>
          <w:p>
            <w:pPr>
              <w:jc w:val="both"/>
              <w:rPr>
                <w:bCs/>
                <w:iCs/>
                <w:sz w:val="26"/>
                <w:szCs w:val="26"/>
              </w:rPr>
            </w:pPr>
            <w:r>
              <w:rPr>
                <w:bCs/>
                <w:iCs/>
                <w:sz w:val="26"/>
                <w:szCs w:val="26"/>
              </w:rPr>
              <w:t>Luật Khoa học, công nghệ và đổi mới sáng tạo số 93/2025/QH15; Luật sửa đổi, bổ sung một số điều của Luật Chuyển giao công nghệ số 115/2025/QH15; Luật Chuyển đổi số 148/2025/QH15; Nghị định số 265/2025/NĐ-CP; số 267/2025/NĐ-CP; 268/2025/NĐ-CP</w:t>
            </w:r>
          </w:p>
        </w:tc>
        <w:tc>
          <w:tcPr>
            <w:tcW w:w="3077" w:type="dxa"/>
            <w:vAlign w:val="center"/>
          </w:tcPr>
          <w:p>
            <w:pPr>
              <w:jc w:val="both"/>
              <w:rPr>
                <w:bCs/>
                <w:iCs/>
                <w:sz w:val="26"/>
                <w:szCs w:val="26"/>
              </w:rPr>
            </w:pPr>
            <w:r>
              <w:rPr>
                <w:bCs/>
                <w:iCs/>
                <w:sz w:val="26"/>
                <w:szCs w:val="26"/>
              </w:rPr>
              <w:t>Nội dung, quy định của VBQPPL mâu thuẫn, chồng chéo, không thống nhất, không còn phù hợp với quy định của văn bản là căn cứ rà soát.</w:t>
            </w:r>
          </w:p>
        </w:tc>
        <w:tc>
          <w:tcPr>
            <w:tcW w:w="1980" w:type="dxa"/>
            <w:vAlign w:val="center"/>
          </w:tcPr>
          <w:p>
            <w:pPr>
              <w:jc w:val="both"/>
              <w:rPr>
                <w:bCs/>
                <w:iCs/>
                <w:sz w:val="26"/>
                <w:szCs w:val="26"/>
              </w:rPr>
            </w:pPr>
            <w:r>
              <w:rPr>
                <w:bCs/>
                <w:iCs/>
                <w:sz w:val="26"/>
                <w:szCs w:val="26"/>
              </w:rPr>
              <w:t>2026-2027</w:t>
            </w:r>
          </w:p>
        </w:tc>
        <w:tc>
          <w:tcPr>
            <w:tcW w:w="2610" w:type="dxa"/>
            <w:vAlign w:val="center"/>
          </w:tcPr>
          <w:p>
            <w:pPr>
              <w:jc w:val="both"/>
              <w:rPr>
                <w:bCs/>
                <w:iCs/>
                <w:sz w:val="26"/>
                <w:szCs w:val="26"/>
              </w:rPr>
            </w:pPr>
            <w:r>
              <w:rPr>
                <w:bCs/>
                <w:iCs/>
                <w:sz w:val="26"/>
                <w:szCs w:val="26"/>
              </w:rPr>
              <w:t>Tiêu chí 1.1 - Tiêu chí về tổ chức bộ máy; Tiêu chí 1.2 - Tiêu chí về khoa học, công nghệ</w:t>
            </w:r>
          </w:p>
        </w:tc>
        <w:tc>
          <w:tcPr>
            <w:tcW w:w="1980" w:type="dxa"/>
            <w:vAlign w:val="center"/>
          </w:tcPr>
          <w:p>
            <w:pPr>
              <w:jc w:val="both"/>
              <w:rPr>
                <w:bCs/>
                <w:iCs/>
                <w:sz w:val="26"/>
                <w:szCs w:val="26"/>
              </w:rPr>
            </w:pPr>
            <w:r>
              <w:rPr>
                <w:bCs/>
                <w:iCs/>
                <w:sz w:val="26"/>
                <w:szCs w:val="26"/>
              </w:rPr>
              <w:t xml:space="preserve"> </w:t>
            </w:r>
          </w:p>
        </w:tc>
      </w:tr>
      <w:tr>
        <w:tc>
          <w:tcPr>
            <w:tcW w:w="959" w:type="dxa"/>
            <w:vAlign w:val="center"/>
          </w:tcPr>
          <w:p>
            <w:pPr>
              <w:jc w:val="center"/>
              <w:rPr>
                <w:bCs/>
                <w:iCs/>
                <w:sz w:val="26"/>
                <w:szCs w:val="26"/>
              </w:rPr>
            </w:pPr>
            <w:r>
              <w:rPr>
                <w:bCs/>
                <w:iCs/>
                <w:sz w:val="26"/>
                <w:szCs w:val="26"/>
              </w:rPr>
              <w:t>3.</w:t>
            </w:r>
          </w:p>
        </w:tc>
        <w:tc>
          <w:tcPr>
            <w:tcW w:w="1826" w:type="dxa"/>
            <w:vAlign w:val="center"/>
          </w:tcPr>
          <w:p>
            <w:pPr>
              <w:jc w:val="both"/>
              <w:rPr>
                <w:bCs/>
                <w:iCs/>
                <w:sz w:val="26"/>
                <w:szCs w:val="26"/>
              </w:rPr>
            </w:pPr>
            <w:r>
              <w:rPr>
                <w:bCs/>
                <w:iCs/>
                <w:sz w:val="26"/>
                <w:szCs w:val="26"/>
              </w:rPr>
              <w:t>Quyết định số 100/2005/QĐ-UBND ngày 09/11/2005 của UBND tỉnh Về việc thành lập Trung tâm Thông tin Khoa học công nghệ và tin học tỉnh Nghệ An</w:t>
            </w:r>
          </w:p>
        </w:tc>
        <w:tc>
          <w:tcPr>
            <w:tcW w:w="2143" w:type="dxa"/>
            <w:vAlign w:val="center"/>
          </w:tcPr>
          <w:p>
            <w:pPr>
              <w:jc w:val="both"/>
              <w:rPr>
                <w:bCs/>
                <w:iCs/>
                <w:sz w:val="26"/>
                <w:szCs w:val="26"/>
              </w:rPr>
            </w:pPr>
            <w:r>
              <w:rPr>
                <w:bCs/>
                <w:iCs/>
                <w:sz w:val="26"/>
                <w:szCs w:val="26"/>
              </w:rPr>
              <w:t>Quyết định số 370/QĐ- UBND phê duyệt Đề án hợp nhất Sở Thông tin và Truyền thông và Sở Khoa học và Công nghệ thành Sở Khoa học và Công nghệ thuộc UBND tỉnh; QĐ số 1456/QĐ-UBND ngày 22/5/2025</w:t>
            </w:r>
          </w:p>
        </w:tc>
        <w:tc>
          <w:tcPr>
            <w:tcW w:w="3077" w:type="dxa"/>
            <w:vAlign w:val="center"/>
          </w:tcPr>
          <w:p>
            <w:pPr>
              <w:jc w:val="both"/>
              <w:rPr>
                <w:bCs/>
                <w:iCs/>
                <w:sz w:val="26"/>
                <w:szCs w:val="26"/>
              </w:rPr>
            </w:pPr>
            <w:r>
              <w:rPr>
                <w:bCs/>
                <w:iCs/>
                <w:sz w:val="26"/>
                <w:szCs w:val="26"/>
              </w:rPr>
              <w:t>Nội dung, quy định của VBQPPL mâu thuẫn, chồng chéo, không thống nhất, không còn phù hợp với quy định của văn bản là căn cứ rà soát.</w:t>
            </w:r>
          </w:p>
        </w:tc>
        <w:tc>
          <w:tcPr>
            <w:tcW w:w="1980" w:type="dxa"/>
            <w:vAlign w:val="center"/>
          </w:tcPr>
          <w:p>
            <w:pPr>
              <w:jc w:val="both"/>
              <w:rPr>
                <w:bCs/>
                <w:iCs/>
                <w:sz w:val="26"/>
                <w:szCs w:val="26"/>
              </w:rPr>
            </w:pPr>
            <w:r>
              <w:rPr>
                <w:bCs/>
                <w:iCs/>
                <w:sz w:val="26"/>
                <w:szCs w:val="26"/>
              </w:rPr>
              <w:t>2026-2027</w:t>
            </w:r>
          </w:p>
        </w:tc>
        <w:tc>
          <w:tcPr>
            <w:tcW w:w="2610" w:type="dxa"/>
            <w:vAlign w:val="center"/>
          </w:tcPr>
          <w:p>
            <w:pPr>
              <w:jc w:val="both"/>
              <w:rPr>
                <w:bCs/>
                <w:iCs/>
                <w:sz w:val="26"/>
                <w:szCs w:val="26"/>
              </w:rPr>
            </w:pPr>
            <w:r>
              <w:rPr>
                <w:bCs/>
                <w:iCs/>
                <w:sz w:val="26"/>
                <w:szCs w:val="26"/>
              </w:rPr>
              <w:t>Tiêu chí 1.1 - Tiêu chí về tổ chức bộ máy; Tiêu chí 1.2 - Tiêu chí về khoa học, công nghệ</w:t>
            </w:r>
          </w:p>
        </w:tc>
        <w:tc>
          <w:tcPr>
            <w:tcW w:w="1980" w:type="dxa"/>
            <w:vAlign w:val="center"/>
          </w:tcPr>
          <w:p>
            <w:pPr>
              <w:jc w:val="both"/>
              <w:rPr>
                <w:bCs/>
                <w:iCs/>
                <w:sz w:val="26"/>
                <w:szCs w:val="26"/>
              </w:rPr>
            </w:pPr>
            <w:r>
              <w:rPr>
                <w:bCs/>
                <w:iCs/>
                <w:sz w:val="26"/>
                <w:szCs w:val="26"/>
              </w:rPr>
              <w:t xml:space="preserve"> </w:t>
            </w:r>
          </w:p>
        </w:tc>
      </w:tr>
      <w:tr>
        <w:tc>
          <w:tcPr>
            <w:tcW w:w="959" w:type="dxa"/>
            <w:vAlign w:val="center"/>
          </w:tcPr>
          <w:p>
            <w:pPr>
              <w:jc w:val="center"/>
              <w:rPr>
                <w:bCs/>
                <w:iCs/>
                <w:sz w:val="26"/>
                <w:szCs w:val="26"/>
              </w:rPr>
            </w:pPr>
            <w:r>
              <w:rPr>
                <w:bCs/>
                <w:iCs/>
                <w:sz w:val="26"/>
                <w:szCs w:val="26"/>
              </w:rPr>
              <w:t>4.</w:t>
            </w:r>
          </w:p>
        </w:tc>
        <w:tc>
          <w:tcPr>
            <w:tcW w:w="1826" w:type="dxa"/>
            <w:vAlign w:val="center"/>
          </w:tcPr>
          <w:p>
            <w:pPr>
              <w:jc w:val="both"/>
              <w:rPr>
                <w:bCs/>
                <w:iCs/>
                <w:sz w:val="26"/>
                <w:szCs w:val="26"/>
              </w:rPr>
            </w:pPr>
            <w:r>
              <w:rPr>
                <w:bCs/>
                <w:iCs/>
                <w:sz w:val="26"/>
                <w:szCs w:val="26"/>
              </w:rPr>
              <w:t>Quyết định số 16/2013/QĐ-UBND ngày 26/02/2013 của UBND tỉnh Về việc sửa đổi, bổ sung chức năng, nhiệm vụ của Trung tâm Thông tin Khoa học Công nghệ và Tin học Nghệ An.</w:t>
            </w:r>
          </w:p>
        </w:tc>
        <w:tc>
          <w:tcPr>
            <w:tcW w:w="2143" w:type="dxa"/>
            <w:vAlign w:val="center"/>
          </w:tcPr>
          <w:p>
            <w:pPr>
              <w:jc w:val="both"/>
              <w:rPr>
                <w:bCs/>
                <w:iCs/>
                <w:sz w:val="26"/>
                <w:szCs w:val="26"/>
              </w:rPr>
            </w:pPr>
            <w:r>
              <w:rPr>
                <w:bCs/>
                <w:iCs/>
                <w:sz w:val="26"/>
                <w:szCs w:val="26"/>
              </w:rPr>
              <w:t>Quyết định số 370/QĐ- UBND phê duyệt Đề án hợp nhất Sở Thông tin và Truyền thông và Sở Khoa học và Công nghệ thành Sở Khoa học và Công nghệ thuộc UBND tỉnh; QĐ số 1456/QĐ-UBND ngày 22/5/2025</w:t>
            </w:r>
          </w:p>
        </w:tc>
        <w:tc>
          <w:tcPr>
            <w:tcW w:w="3077" w:type="dxa"/>
            <w:vAlign w:val="center"/>
          </w:tcPr>
          <w:p>
            <w:pPr>
              <w:jc w:val="both"/>
              <w:rPr>
                <w:bCs/>
                <w:iCs/>
                <w:sz w:val="26"/>
                <w:szCs w:val="26"/>
              </w:rPr>
            </w:pPr>
            <w:r>
              <w:rPr>
                <w:bCs/>
                <w:iCs/>
                <w:sz w:val="26"/>
                <w:szCs w:val="26"/>
              </w:rPr>
              <w:t>Nội dung, quy định của VBQPPL mâu thuẫn, chồng chéo, không thống nhất, không còn phù hợp với quy định của văn bản là căn cứ rà soát.</w:t>
            </w:r>
          </w:p>
        </w:tc>
        <w:tc>
          <w:tcPr>
            <w:tcW w:w="1980" w:type="dxa"/>
            <w:vAlign w:val="center"/>
          </w:tcPr>
          <w:p>
            <w:pPr>
              <w:jc w:val="both"/>
              <w:rPr>
                <w:bCs/>
                <w:iCs/>
                <w:sz w:val="26"/>
                <w:szCs w:val="26"/>
              </w:rPr>
            </w:pPr>
            <w:r>
              <w:rPr>
                <w:bCs/>
                <w:iCs/>
                <w:sz w:val="26"/>
                <w:szCs w:val="26"/>
              </w:rPr>
              <w:t>2026-2027</w:t>
            </w:r>
          </w:p>
        </w:tc>
        <w:tc>
          <w:tcPr>
            <w:tcW w:w="2610" w:type="dxa"/>
            <w:vAlign w:val="center"/>
          </w:tcPr>
          <w:p>
            <w:pPr>
              <w:jc w:val="both"/>
              <w:rPr>
                <w:bCs/>
                <w:iCs/>
                <w:sz w:val="26"/>
                <w:szCs w:val="26"/>
              </w:rPr>
            </w:pPr>
            <w:r>
              <w:rPr>
                <w:bCs/>
                <w:iCs/>
                <w:sz w:val="26"/>
                <w:szCs w:val="26"/>
              </w:rPr>
              <w:t>Tiêu chí 1.1 - Tiêu chí về tổ chức bộ máy; Tiêu chí 1.2 - Tiêu chí về khoa học, công nghệ</w:t>
            </w:r>
          </w:p>
        </w:tc>
        <w:tc>
          <w:tcPr>
            <w:tcW w:w="1980" w:type="dxa"/>
            <w:vAlign w:val="center"/>
          </w:tcPr>
          <w:p>
            <w:pPr>
              <w:jc w:val="both"/>
              <w:rPr>
                <w:bCs/>
                <w:iCs/>
                <w:sz w:val="26"/>
                <w:szCs w:val="26"/>
              </w:rPr>
            </w:pPr>
            <w:r>
              <w:rPr>
                <w:bCs/>
                <w:iCs/>
                <w:sz w:val="26"/>
                <w:szCs w:val="26"/>
              </w:rPr>
              <w:t xml:space="preserve"> </w:t>
            </w:r>
          </w:p>
        </w:tc>
      </w:tr>
      <w:tr>
        <w:tc>
          <w:tcPr>
            <w:tcW w:w="959" w:type="dxa"/>
            <w:vAlign w:val="center"/>
          </w:tcPr>
          <w:p>
            <w:pPr>
              <w:jc w:val="center"/>
              <w:rPr>
                <w:bCs/>
                <w:iCs/>
                <w:sz w:val="26"/>
                <w:szCs w:val="26"/>
              </w:rPr>
            </w:pPr>
            <w:r>
              <w:rPr>
                <w:bCs/>
                <w:iCs/>
                <w:sz w:val="26"/>
                <w:szCs w:val="26"/>
              </w:rPr>
              <w:t>5.</w:t>
            </w:r>
          </w:p>
        </w:tc>
        <w:tc>
          <w:tcPr>
            <w:tcW w:w="1826" w:type="dxa"/>
            <w:vAlign w:val="center"/>
          </w:tcPr>
          <w:p>
            <w:pPr>
              <w:jc w:val="both"/>
              <w:rPr>
                <w:bCs/>
                <w:iCs/>
                <w:sz w:val="26"/>
                <w:szCs w:val="26"/>
              </w:rPr>
            </w:pPr>
            <w:r>
              <w:rPr>
                <w:bCs/>
                <w:iCs/>
                <w:sz w:val="26"/>
                <w:szCs w:val="26"/>
              </w:rPr>
              <w:t>Chỉ thị số 05/2014/CT-UBND ngày 28/03/2014 của UBND tỉnh Về việc tăng cường, củng cố và sử dụng chung hạ tầng kỹ thuật viễn thông trên địa bàn tỉnh Nghệ An.</w:t>
            </w:r>
          </w:p>
        </w:tc>
        <w:tc>
          <w:tcPr>
            <w:tcW w:w="2143" w:type="dxa"/>
            <w:vAlign w:val="center"/>
          </w:tcPr>
          <w:p>
            <w:pPr>
              <w:jc w:val="both"/>
              <w:rPr>
                <w:bCs/>
                <w:iCs/>
                <w:sz w:val="26"/>
                <w:szCs w:val="26"/>
              </w:rPr>
            </w:pPr>
            <w:r>
              <w:rPr>
                <w:bCs/>
                <w:iCs/>
                <w:sz w:val="26"/>
                <w:szCs w:val="26"/>
              </w:rPr>
              <w:t>Luật Viễn thông năm 2023/số 24/2023/QH15;</w:t>
            </w:r>
          </w:p>
        </w:tc>
        <w:tc>
          <w:tcPr>
            <w:tcW w:w="3077" w:type="dxa"/>
            <w:vAlign w:val="center"/>
          </w:tcPr>
          <w:p>
            <w:pPr>
              <w:jc w:val="both"/>
              <w:rPr>
                <w:bCs/>
                <w:iCs/>
                <w:sz w:val="26"/>
                <w:szCs w:val="26"/>
              </w:rPr>
            </w:pPr>
            <w:r>
              <w:rPr>
                <w:bCs/>
                <w:iCs/>
                <w:sz w:val="26"/>
                <w:szCs w:val="26"/>
              </w:rPr>
              <w:t>Nội dung, quy định của VBQPPL mâu thuẫn, chồng chéo, không thống nhất, không còn phù hợp với quy định của văn bản là căn cứ rà soát.</w:t>
            </w:r>
          </w:p>
        </w:tc>
        <w:tc>
          <w:tcPr>
            <w:tcW w:w="1980" w:type="dxa"/>
            <w:vAlign w:val="center"/>
          </w:tcPr>
          <w:p>
            <w:pPr>
              <w:jc w:val="both"/>
              <w:rPr>
                <w:bCs/>
                <w:iCs/>
                <w:sz w:val="26"/>
                <w:szCs w:val="26"/>
              </w:rPr>
            </w:pPr>
            <w:r>
              <w:rPr>
                <w:bCs/>
                <w:iCs/>
                <w:sz w:val="26"/>
                <w:szCs w:val="26"/>
              </w:rPr>
              <w:t>2026-2027</w:t>
            </w:r>
          </w:p>
        </w:tc>
        <w:tc>
          <w:tcPr>
            <w:tcW w:w="2610" w:type="dxa"/>
            <w:vAlign w:val="center"/>
          </w:tcPr>
          <w:p>
            <w:pPr>
              <w:jc w:val="both"/>
              <w:rPr>
                <w:bCs/>
                <w:iCs/>
                <w:sz w:val="26"/>
                <w:szCs w:val="26"/>
              </w:rPr>
            </w:pPr>
            <w:r>
              <w:rPr>
                <w:bCs/>
                <w:iCs/>
                <w:sz w:val="26"/>
                <w:szCs w:val="26"/>
              </w:rPr>
              <w:t>Tiêu chí 1.1 - Tiêu chí về tổ chức bộ máy; Tiêu chí 1.2 - Tiêu chí về khoa học, công nghệ</w:t>
            </w:r>
          </w:p>
        </w:tc>
        <w:tc>
          <w:tcPr>
            <w:tcW w:w="1980" w:type="dxa"/>
            <w:vAlign w:val="center"/>
          </w:tcPr>
          <w:p>
            <w:pPr>
              <w:jc w:val="both"/>
              <w:rPr>
                <w:bCs/>
                <w:iCs/>
                <w:sz w:val="26"/>
                <w:szCs w:val="26"/>
              </w:rPr>
            </w:pPr>
            <w:r>
              <w:rPr>
                <w:bCs/>
                <w:iCs/>
                <w:sz w:val="26"/>
                <w:szCs w:val="26"/>
              </w:rPr>
              <w:t xml:space="preserve"> </w:t>
            </w:r>
          </w:p>
        </w:tc>
      </w:tr>
      <w:tr w:rsidR="00BE03DE" w:rsidRPr="007E433C" w14:paraId="677E2D2F" w14:textId="77777777" w:rsidTr="00BE03DE">
        <w:tc>
          <w:tcPr>
            <w:tcW w:w="14575" w:type="dxa"/>
            <w:gridSpan w:val="7"/>
            <w:shd w:val="clear" w:color="auto" w:fill="F7CAAC" w:themeFill="accent2" w:themeFillTint="66"/>
            <w:vAlign w:val="center"/>
          </w:tcPr>
          <w:p w14:paraId="411A3BDF" w14:textId="77777777" w:rsidR="00BE03DE" w:rsidRPr="007E433C" w:rsidRDefault="00BE03DE" w:rsidP="006A3393">
            <w:pPr>
              <w:spacing w:before="120" w:after="120"/>
              <w:jc w:val="center"/>
              <w:rPr>
                <w:bCs/>
                <w:iCs/>
                <w:sz w:val="24"/>
              </w:rPr>
            </w:pPr>
            <w:r>
              <w:rPr>
                <w:b/>
                <w:sz w:val="24"/>
              </w:rPr>
              <w:t>Tổng số VB đề xuất xử lý: 5 văn bản</w:t>
            </w:r>
          </w:p>
        </w:tc>
      </w:tr>
    </w:tbl>
    <w:p w14:paraId="4B99056E" w14:textId="77777777" w:rsidR="00176C78" w:rsidRDefault="00176C78" w:rsidP="00865F69">
      <w:pPr>
        <w:shd w:val="clear" w:color="auto" w:fill="FFFFFF"/>
        <w:spacing w:before="120" w:after="120" w:line="234" w:lineRule="atLeast"/>
        <w:jc w:val="both"/>
        <w:rPr>
          <w:rFonts w:ascii="Arial" w:hAnsi="Arial" w:cs="Arial"/>
          <w:sz w:val="20"/>
          <w:szCs w:val="20"/>
        </w:rPr>
      </w:pPr>
    </w:p>
    <w:p w14:paraId="220CAF32" w14:textId="77777777"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14:paraId="1BAE13A6" w14:textId="77777777"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14:paraId="00348294" w14:textId="77777777"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14:paraId="79820EE0" w14:textId="77777777"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lastRenderedPageBreak/>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14:paraId="0D81A08A" w14:textId="6BCA692D"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14:paraId="40F8850E"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14:paraId="19154966"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14:paraId="60AD8354" w14:textId="77777777"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14:paraId="7B940CF9"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14:paraId="79C29607"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14:paraId="39028833"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14:paraId="312FD788"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14:paraId="136C4F6E"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14:paraId="3D2FEC54"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14:paraId="728A2349" w14:textId="77777777"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Tên các lĩnh vực: Theo tên của cơ quan chuyên môn thuộc UBND cấp tỉnh (trừ VBQPPL do Văn phòng UBND rà soát) (Ví dụ: Lĩnh vực Tư pháp, Lĩnh vực Tài chính...). </w:t>
      </w:r>
    </w:p>
    <w:p w14:paraId="77E87CE3" w14:textId="1613D2A2"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14:paraId="1299C43A" w14:textId="77777777" w:rsidR="00A260A8" w:rsidRDefault="00A260A8" w:rsidP="00574042">
      <w:pPr>
        <w:spacing w:before="120" w:after="120" w:line="264" w:lineRule="auto"/>
        <w:jc w:val="both"/>
        <w:rPr>
          <w:bCs/>
          <w:sz w:val="26"/>
          <w:szCs w:val="26"/>
        </w:rPr>
      </w:pPr>
    </w:p>
    <w:sectPr w:rsidR="00A260A8" w:rsidSect="00741EBC">
      <w:headerReference w:type="default" r:id="rId11"/>
      <w:footerReference w:type="even" r:id="rId12"/>
      <w:footerReference w:type="default" r:id="rId13"/>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72BFF" w14:textId="77777777" w:rsidR="007059F5" w:rsidRDefault="007059F5">
      <w:r>
        <w:separator/>
      </w:r>
    </w:p>
  </w:endnote>
  <w:endnote w:type="continuationSeparator" w:id="0">
    <w:p w14:paraId="3FE658CC" w14:textId="77777777" w:rsidR="007059F5" w:rsidRDefault="0070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D5D3" w14:textId="77777777"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14:paraId="0FB78278" w14:textId="77777777"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2D8B6" w14:textId="77777777"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2868F" w14:textId="77777777" w:rsidR="007059F5" w:rsidRDefault="007059F5">
      <w:r>
        <w:separator/>
      </w:r>
    </w:p>
  </w:footnote>
  <w:footnote w:type="continuationSeparator" w:id="0">
    <w:p w14:paraId="4822F5DB" w14:textId="77777777" w:rsidR="007059F5" w:rsidRDefault="007059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0CC7" w14:textId="5A67EF66"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70451"/>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
    <w:name w:val="Unresolved Mention"/>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https://vbpl.vn/hanoi/pages/vbpq-timkiem.aspx?type=0&amp;s=1&amp;Keyword=33/2025/Q%C4%90-UBND&amp;SearchIn=Title,Title1&amp;IsRec=1&amp;pv=1" TargetMode="External" Type="http://schemas.openxmlformats.org/officeDocument/2006/relationships/hyperlink"/><Relationship Id="rId11" Target="header1.xml" Type="http://schemas.openxmlformats.org/officeDocument/2006/relationships/header"/><Relationship Id="rId12" Target="footer1.xml" Type="http://schemas.openxmlformats.org/officeDocument/2006/relationships/footer"/><Relationship Id="rId13" Target="footer2.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customXml/item2.xml" Type="http://schemas.openxmlformats.org/officeDocument/2006/relationships/customXml"/><Relationship Id="rId3" Target="../customXml/item3.xml" Type="http://schemas.openxmlformats.org/officeDocument/2006/relationships/customXml"/><Relationship Id="rId4" Target="numbering.xml" Type="http://schemas.openxmlformats.org/officeDocument/2006/relationships/numbering"/><Relationship Id="rId5" Target="styles.xml" Type="http://schemas.openxmlformats.org/officeDocument/2006/relationships/styles"/><Relationship Id="rId6" Target="settings.xml" Type="http://schemas.openxmlformats.org/officeDocument/2006/relationships/settings"/><Relationship Id="rId7" Target="webSettings.xml" Type="http://schemas.openxmlformats.org/officeDocument/2006/relationships/webSettings"/><Relationship Id="rId8" Target="footnotes.xml" Type="http://schemas.openxmlformats.org/officeDocument/2006/relationships/footnotes"/><Relationship Id="rId9" Target="endnotes.xml" Type="http://schemas.openxmlformats.org/officeDocument/2006/relationships/endnote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Relationships xmlns="http://schemas.openxmlformats.org/package/2006/relationships"><Relationship Id="rId1" Target="itemProps2.xml" Type="http://schemas.openxmlformats.org/officeDocument/2006/relationships/customXmlProps"/></Relationships>
</file>

<file path=customXml/_rels/item3.xml.rels><?xml version="1.0" encoding="UTF-8" standalone="yes"?><Relationships xmlns="http://schemas.openxmlformats.org/package/2006/relationships"><Relationship Id="rId1" Target="itemProps3.xml" Type="http://schemas.openxmlformats.org/officeDocument/2006/relationships/customXmlProps"/></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1FD1F07-3B74-4E41-B0DA-3DF18022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950</Words>
  <Characters>5415</Characters>
  <Application>Microsoft Office Word</Application>
  <DocSecurity>0</DocSecurity>
  <Lines>45</Lines>
  <Paragraphs>12</Paragraphs>
  <ScaleCrop>false</ScaleCrop>
  <Company>Truong</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2026-04-22T06:56:00Z</dcterms:created>
  <dc:creator>PC Thien IT</dc:creator>
  <cp:lastModifiedBy>Toàn Phạm</cp:lastModifiedBy>
  <dcterms:modified xsi:type="dcterms:W3CDTF">2026-06-09T01:51:00Z</dcterms:modified>
  <cp:revision>55</cp:revision>
  <dc:title>DỰ KIẾN PHÂN CÔNG RÀ SOÁT VĂN BẢN QUY PHẠM PHÁP LUẬT</dc:title>
</cp:coreProperties>
</file>