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Cao Bằng</w:t>
      </w:r>
    </w:p>
    <w:p w:rsidR="00C90D01" w:rsidRDefault="00C90D01" w:rsidP="00C90D01">
      <w:pPr>
        <w:jc w:val="center"/>
        <w:rPr>
          <w:bCs/>
          <w:i/>
          <w:iCs/>
          <w:sz w:val="26"/>
          <w:szCs w:val="26"/>
        </w:rPr>
      </w:pPr>
      <w:r>
        <w:rPr>
          <w:bCs/>
          <w:i/>
          <w:iCs/>
          <w:sz w:val="26"/>
          <w:szCs w:val="26"/>
        </w:rPr>
        <w:t>(Kèm theo Báo cáo số: ......... ngày ......... của UBND Tỉnh Cao Bằng)</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Ghi chú</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EA1131">
        <w:trPr>
          <w:trHeight w:val="315"/>
        </w:trPr>
        <w:tc>
          <w:tcPr>
            <w:tcW w:w="14575" w:type="dxa"/>
            <w:gridSpan w:val="7"/>
            <w:vAlign w:val="center"/>
          </w:tcPr>
          <w:p w:rsidR="00EA1131" w:rsidRDefault="0074510C">
            <w:pPr>
              <w:ind w:left="1080"/>
              <w:jc w:val="center"/>
              <w:rPr>
                <w:b/>
                <w:sz w:val="26"/>
                <w:szCs w:val="26"/>
              </w:rPr>
            </w:pPr>
            <w:r>
              <w:rPr>
                <w:b/>
                <w:sz w:val="26"/>
                <w:szCs w:val="26"/>
              </w:rPr>
              <w:t>I. KHOA HỌC VÀ CÔNG NGHỆ</w:t>
            </w:r>
          </w:p>
        </w:tc>
      </w:tr>
      <w:tr w:rsidR="005A3155" w:rsidTr="00AB04C4">
        <w:tc>
          <w:tcPr>
            <w:tcW w:w="959" w:type="dxa"/>
            <w:vAlign w:val="center"/>
          </w:tcPr>
          <w:p w:rsidR="005A3155" w:rsidRDefault="005A3155" w:rsidP="005A3155">
            <w:pPr>
              <w:jc w:val="center"/>
              <w:rPr>
                <w:bCs/>
                <w:iCs/>
                <w:sz w:val="26"/>
                <w:szCs w:val="26"/>
              </w:rPr>
            </w:pPr>
            <w:r>
              <w:rPr>
                <w:bCs/>
                <w:iCs/>
                <w:sz w:val="26"/>
                <w:szCs w:val="26"/>
              </w:rPr>
              <w:t>1.</w:t>
            </w:r>
          </w:p>
        </w:tc>
        <w:tc>
          <w:tcPr>
            <w:tcW w:w="1826" w:type="dxa"/>
            <w:vAlign w:val="center"/>
          </w:tcPr>
          <w:p w:rsidR="005A3155" w:rsidRDefault="005A3155" w:rsidP="005A3155">
            <w:pPr>
              <w:jc w:val="both"/>
              <w:rPr>
                <w:bCs/>
                <w:iCs/>
                <w:sz w:val="26"/>
                <w:szCs w:val="26"/>
              </w:rPr>
            </w:pPr>
            <w:r>
              <w:rPr>
                <w:bCs/>
                <w:iCs/>
                <w:sz w:val="26"/>
                <w:szCs w:val="26"/>
              </w:rPr>
              <w:t xml:space="preserve">Nghị quyết số số 72/2024/NQ-HĐND ngày 25/09/2024 của Hội đồng nhân dân tỉnh Nghị quyết  Quy định thẩm </w:t>
            </w:r>
            <w:r>
              <w:rPr>
                <w:bCs/>
                <w:iCs/>
                <w:sz w:val="26"/>
                <w:szCs w:val="26"/>
              </w:rPr>
              <w:lastRenderedPageBreak/>
              <w:t>quyền, quyết định việc đầu tư, mua sắm các hoạt động ứng dụng công nghệ thông tin, thuê dịch vụ công</w:t>
            </w:r>
            <w:r>
              <w:rPr>
                <w:bCs/>
                <w:iCs/>
                <w:sz w:val="26"/>
                <w:szCs w:val="26"/>
              </w:rPr>
              <w:br/>
              <w:t>nghệ thông tin sử dụng kinh phí chi thường xuyên nguồn vốn ngân sách nhà nước thuộc phạm vi quản lý của tỉnh Cao Bằng</w:t>
            </w:r>
          </w:p>
        </w:tc>
        <w:tc>
          <w:tcPr>
            <w:tcW w:w="2143" w:type="dxa"/>
            <w:vAlign w:val="center"/>
          </w:tcPr>
          <w:p w:rsidR="005A3155" w:rsidRDefault="005A3155" w:rsidP="005A3155">
            <w:pPr>
              <w:jc w:val="both"/>
              <w:rPr>
                <w:bCs/>
                <w:iCs/>
                <w:sz w:val="26"/>
                <w:szCs w:val="26"/>
              </w:rPr>
            </w:pPr>
            <w:r>
              <w:rPr>
                <w:bCs/>
                <w:iCs/>
                <w:sz w:val="26"/>
                <w:szCs w:val="26"/>
              </w:rPr>
              <w:lastRenderedPageBreak/>
              <w:t>- Nghị định số 73/2029/NĐ-CP ngày 25/9/2019 của Chính phủ.</w:t>
            </w:r>
            <w:r>
              <w:rPr>
                <w:bCs/>
                <w:iCs/>
                <w:sz w:val="26"/>
                <w:szCs w:val="26"/>
              </w:rPr>
              <w:br/>
              <w:t xml:space="preserve">- Nghị định số 82/2024/NĐ-CP ngày 10/7/2024 của Chính phủ sửa đổi bổ sung một số </w:t>
            </w:r>
            <w:r>
              <w:rPr>
                <w:bCs/>
                <w:iCs/>
                <w:sz w:val="26"/>
                <w:szCs w:val="26"/>
              </w:rPr>
              <w:lastRenderedPageBreak/>
              <w:t>điều của Nghị định số 73/2029/NĐ-CP.</w:t>
            </w:r>
            <w:r>
              <w:rPr>
                <w:bCs/>
                <w:iCs/>
                <w:sz w:val="26"/>
                <w:szCs w:val="26"/>
              </w:rPr>
              <w:br/>
              <w:t>- Nghị định số 45/2026/NĐ-CP ngày 26/1/2026 của Chính phủ quy định Quy định quản lý đầu tư ứng dụng công nghệ thông tin sử dụng nguồn vốn ngân sách nhà nước,</w:t>
            </w:r>
          </w:p>
        </w:tc>
        <w:tc>
          <w:tcPr>
            <w:tcW w:w="3077" w:type="dxa"/>
            <w:vAlign w:val="center"/>
          </w:tcPr>
          <w:p w:rsidR="005A3155" w:rsidRDefault="005A3155" w:rsidP="005A3155">
            <w:pPr>
              <w:jc w:val="both"/>
              <w:rPr>
                <w:bCs/>
                <w:iCs/>
                <w:sz w:val="26"/>
                <w:szCs w:val="26"/>
              </w:rPr>
            </w:pPr>
            <w:r>
              <w:rPr>
                <w:bCs/>
                <w:iCs/>
                <w:sz w:val="26"/>
                <w:szCs w:val="26"/>
              </w:rPr>
              <w:lastRenderedPageBreak/>
              <w:t xml:space="preserve">- Nghị quyết số 72/2024/NQ-HĐND của Hội đồng nhân dân tỉnh được sửa đổi, bổ sung một số nội dung của điều 1 tại Nghị quyết số 18/2025/NQ-HĐND tỉnh quy định về thẩm quyền quyết định đầu tư, mua sắm </w:t>
            </w:r>
            <w:r>
              <w:rPr>
                <w:bCs/>
                <w:iCs/>
                <w:sz w:val="26"/>
                <w:szCs w:val="26"/>
              </w:rPr>
              <w:lastRenderedPageBreak/>
              <w:t xml:space="preserve">các hoạt động ứng dụng công nghệ thông tin, thuê dịch vụ công nghệ thông tin, sử dụng kinh phí chi thường xuyên nguồn vốn ngân sách nhà nước thuộc phạm vi quản lý của tỉnh Cao Bằng. Nghị quyết được xây dựng, trình ban hành theo quy định của Nghị định số 73/2029/NĐ-CP ngày 25/9/2019 được sửa đổi bổ sung một số điều tại Nghị định số 82/2024/NĐ-CP của Chính phủ. </w:t>
            </w:r>
            <w:r>
              <w:rPr>
                <w:bCs/>
                <w:iCs/>
                <w:sz w:val="26"/>
                <w:szCs w:val="26"/>
              </w:rPr>
              <w:br/>
              <w:t xml:space="preserve">- Ngày 26/1/2026, Chính phủ ban hành  Nghị định số 45/2026/NĐ-CP, thay thế Nghị định số 73/2029/NĐ-CP, Nghị định số 82/2024/NĐ-CP; trong đó  thẩm quyền quyết định dự án, thuê dịch vụ công nghệ thông tin (nguồn chi thường xuyên) quy định tại khoản 4, Điều 32, Nghị định số 45/2026/NĐ-CP, được xác định theo quy định về thẩm quyền phê duyệt chủ trương và dự kiến kinh phí quy định tại Nghị định số 104/2026/NĐ-CP ngày </w:t>
            </w:r>
            <w:r>
              <w:rPr>
                <w:bCs/>
                <w:iCs/>
                <w:sz w:val="26"/>
                <w:szCs w:val="26"/>
              </w:rPr>
              <w:lastRenderedPageBreak/>
              <w:t>31/3/2026 của Chỉnh phủ.</w:t>
            </w:r>
            <w:r>
              <w:rPr>
                <w:bCs/>
                <w:iCs/>
                <w:sz w:val="26"/>
                <w:szCs w:val="26"/>
              </w:rPr>
              <w:br/>
              <w:t>- Vậy SKHCN đề nghị bãi bỏ 02 nghị quyết nêu trên. và thẩm quyền quyết định dự án, thuê dịch vụ công nghệ thông tin thực hiện theo quy định tại Nghị định số 104/2026/NĐ-CP ngày 31/3/2026 của Chỉnh phủ,</w:t>
            </w:r>
          </w:p>
        </w:tc>
        <w:tc>
          <w:tcPr>
            <w:tcW w:w="1980" w:type="dxa"/>
            <w:vAlign w:val="center"/>
          </w:tcPr>
          <w:p w:rsidR="005A3155" w:rsidRDefault="005A3155" w:rsidP="005A3155">
            <w:pPr>
              <w:jc w:val="both"/>
              <w:rPr>
                <w:bCs/>
                <w:iCs/>
                <w:sz w:val="26"/>
                <w:szCs w:val="26"/>
              </w:rPr>
            </w:pPr>
            <w:r>
              <w:rPr>
                <w:bCs/>
                <w:iCs/>
                <w:sz w:val="26"/>
                <w:szCs w:val="26"/>
              </w:rPr>
              <w:lastRenderedPageBreak/>
              <w:t>Năm 2026</w:t>
            </w:r>
          </w:p>
        </w:tc>
        <w:tc>
          <w:tcPr>
            <w:tcW w:w="2610" w:type="dxa"/>
            <w:vAlign w:val="center"/>
          </w:tcPr>
          <w:p w:rsidR="005A3155" w:rsidRDefault="005A3155" w:rsidP="005A3155">
            <w:pPr>
              <w:jc w:val="both"/>
              <w:rPr>
                <w:bCs/>
                <w:iCs/>
                <w:sz w:val="26"/>
                <w:szCs w:val="26"/>
              </w:rPr>
            </w:pPr>
            <w:r>
              <w:rPr>
                <w:bCs/>
                <w:iCs/>
                <w:sz w:val="26"/>
                <w:szCs w:val="26"/>
              </w:rPr>
              <w:t>Tiêu chí 1.2 - Tiêu chí về khoa học, công nghệ</w:t>
            </w:r>
          </w:p>
        </w:tc>
        <w:tc>
          <w:tcPr>
            <w:tcW w:w="1980" w:type="dxa"/>
          </w:tcPr>
          <w:p w:rsidR="005A3155" w:rsidRPr="00E5404C" w:rsidRDefault="005A3155" w:rsidP="005A3155">
            <w:pPr>
              <w:jc w:val="both"/>
              <w:rPr>
                <w:sz w:val="24"/>
              </w:rPr>
            </w:pPr>
            <w:r w:rsidRPr="00E5404C">
              <w:rPr>
                <w:sz w:val="24"/>
              </w:rPr>
              <w:t>Cần làm rõ, hoàn thiện thêm: Đề nghị làm rõ điều, khoản có vướng mắc, bất cập, không còn phù hợp và chủ trương cụ thể cần tiếp tục thể chế hóa</w:t>
            </w:r>
            <w:r>
              <w:rPr>
                <w:sz w:val="24"/>
              </w:rPr>
              <w:t>. P</w:t>
            </w:r>
            <w:bookmarkStart w:id="2" w:name="_GoBack"/>
            <w:bookmarkEnd w:id="2"/>
            <w:r w:rsidRPr="00E5404C">
              <w:rPr>
                <w:sz w:val="24"/>
              </w:rPr>
              <w:t xml:space="preserve">hân </w:t>
            </w:r>
            <w:r w:rsidRPr="00E5404C">
              <w:rPr>
                <w:sz w:val="24"/>
              </w:rPr>
              <w:lastRenderedPageBreak/>
              <w:t>tích rõ lý do tại cột số 4 dẫn đến cần bãi bỏ toàn bộ Nghị quyết số 72/2024/NQ-HĐND để đảm bảo việc bãi bỏ văn bản này không tạo ra khoảng trống pháp lý; phân tích các nội dung quy định thẩm quyền, quyết định việc đầu tư, mua sắm các hoạt động ứng dụng công nghệ thông tin, thuê dịch vụ công</w:t>
            </w:r>
            <w:r w:rsidRPr="00E5404C">
              <w:rPr>
                <w:sz w:val="24"/>
              </w:rPr>
              <w:br/>
              <w:t>nghệ thông tin sử dụng kinh phí chi thường xuyên nguồn vốn ngân sách nhà nước tại Nghị quyết này đã được quy định tại điều, khoản, điểm của những văn bản nào</w:t>
            </w:r>
          </w:p>
        </w:tc>
      </w:tr>
      <w:tr w:rsidR="005A3155" w:rsidRPr="007E433C" w:rsidTr="00BE03DE">
        <w:tc>
          <w:tcPr>
            <w:tcW w:w="14575" w:type="dxa"/>
            <w:gridSpan w:val="7"/>
            <w:shd w:val="clear" w:color="auto" w:fill="F7CAAC" w:themeFill="accent2" w:themeFillTint="66"/>
            <w:vAlign w:val="center"/>
          </w:tcPr>
          <w:p w:rsidR="005A3155" w:rsidRPr="007E433C" w:rsidRDefault="005A3155" w:rsidP="005A3155">
            <w:pPr>
              <w:spacing w:before="120" w:after="120"/>
              <w:jc w:val="center"/>
              <w:rPr>
                <w:bCs/>
                <w:iCs/>
                <w:sz w:val="24"/>
              </w:rPr>
            </w:pPr>
            <w:r>
              <w:rPr>
                <w:b/>
                <w:sz w:val="24"/>
              </w:rPr>
              <w:lastRenderedPageBreak/>
              <w:t>Tổng số VB đề xuất xử lý: 1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lastRenderedPageBreak/>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10C" w:rsidRDefault="0074510C">
      <w:r>
        <w:separator/>
      </w:r>
    </w:p>
  </w:endnote>
  <w:endnote w:type="continuationSeparator" w:id="0">
    <w:p w:rsidR="0074510C" w:rsidRDefault="0074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10C" w:rsidRDefault="0074510C">
      <w:r>
        <w:separator/>
      </w:r>
    </w:p>
  </w:footnote>
  <w:footnote w:type="continuationSeparator" w:id="0">
    <w:p w:rsidR="0074510C" w:rsidRDefault="00745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A3155"/>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4510C"/>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A1131"/>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C9996"/>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724C8D93-2D86-4DA2-B1C4-8A0E9680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837</Words>
  <Characters>4773</Characters>
  <Application>Microsoft Office Word</Application>
  <DocSecurity>0</DocSecurity>
  <Lines>39</Lines>
  <Paragraphs>11</Paragraphs>
  <ScaleCrop>false</ScaleCrop>
  <Company>Truong</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2026-08-05T01:51:00Z</dcterms:modified>
</cp:coreProperties>
</file>