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Thành phố Đà Nẵng</w:t>
      </w:r>
    </w:p>
    <w:p w:rsidR="00C90D01" w:rsidRDefault="00C90D01" w:rsidP="00C90D01">
      <w:pPr>
        <w:jc w:val="center"/>
        <w:rPr>
          <w:bCs/>
          <w:i/>
          <w:iCs/>
          <w:sz w:val="26"/>
          <w:szCs w:val="26"/>
        </w:rPr>
      </w:pPr>
      <w:r>
        <w:rPr>
          <w:bCs/>
          <w:i/>
          <w:iCs/>
          <w:sz w:val="26"/>
          <w:szCs w:val="26"/>
        </w:rPr>
        <w:t>(Kèm theo Báo cáo số: ......... ngày ......... của UBND Thành phố Đà Nẵng)</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365694" w:rsidRPr="007E433C" w:rsidTr="00BE03DE">
        <w:trPr>
          <w:trHeight w:val="854"/>
          <w:tblHeader/>
        </w:trPr>
        <w:tc>
          <w:tcPr>
            <w:tcW w:w="959" w:type="dxa"/>
            <w:shd w:val="clear" w:color="auto" w:fill="F7CAAC" w:themeFill="accent2" w:themeFillTint="66"/>
            <w:vAlign w:val="center"/>
          </w:tcPr>
          <w:p w:rsidR="00365694" w:rsidRPr="007E433C" w:rsidRDefault="00365694" w:rsidP="00365694">
            <w:pPr>
              <w:jc w:val="center"/>
              <w:rPr>
                <w:b/>
                <w:bCs/>
                <w:iCs/>
                <w:sz w:val="24"/>
              </w:rPr>
            </w:pPr>
            <w:r w:rsidRPr="007E433C">
              <w:rPr>
                <w:b/>
                <w:bCs/>
                <w:iCs/>
                <w:sz w:val="24"/>
              </w:rPr>
              <w:t>STT</w:t>
            </w:r>
          </w:p>
        </w:tc>
        <w:tc>
          <w:tcPr>
            <w:tcW w:w="1826" w:type="dxa"/>
            <w:shd w:val="clear" w:color="auto" w:fill="F7CAAC" w:themeFill="accent2" w:themeFillTint="66"/>
            <w:vAlign w:val="center"/>
          </w:tcPr>
          <w:p w:rsidR="00365694" w:rsidRPr="007E433C" w:rsidRDefault="00365694" w:rsidP="00365694">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365694" w:rsidRPr="007E433C" w:rsidRDefault="00365694" w:rsidP="00365694">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365694" w:rsidRDefault="00365694" w:rsidP="00365694">
            <w:pPr>
              <w:jc w:val="center"/>
              <w:rPr>
                <w:b/>
                <w:bCs/>
                <w:sz w:val="24"/>
              </w:rPr>
            </w:pPr>
            <w:r>
              <w:rPr>
                <w:b/>
                <w:bCs/>
                <w:sz w:val="24"/>
              </w:rPr>
              <w:t>Phân tích lý do đề xuất</w:t>
            </w:r>
          </w:p>
          <w:p w:rsidR="00365694" w:rsidRPr="007E433C" w:rsidRDefault="00365694" w:rsidP="00365694">
            <w:pPr>
              <w:jc w:val="center"/>
              <w:rPr>
                <w:b/>
                <w:bCs/>
                <w:sz w:val="24"/>
              </w:rPr>
            </w:pPr>
            <w:r>
              <w:rPr>
                <w:b/>
                <w:bCs/>
                <w:sz w:val="24"/>
              </w:rPr>
              <w:t>bãi bỏ toàn bộ</w:t>
            </w:r>
          </w:p>
        </w:tc>
        <w:tc>
          <w:tcPr>
            <w:tcW w:w="1980" w:type="dxa"/>
            <w:shd w:val="clear" w:color="auto" w:fill="F7CAAC" w:themeFill="accent2" w:themeFillTint="66"/>
            <w:vAlign w:val="center"/>
          </w:tcPr>
          <w:p w:rsidR="00365694" w:rsidRPr="007E433C" w:rsidRDefault="00365694" w:rsidP="00365694">
            <w:pPr>
              <w:jc w:val="center"/>
              <w:rPr>
                <w:b/>
                <w:bCs/>
                <w:iCs/>
                <w:sz w:val="24"/>
              </w:rPr>
            </w:pPr>
            <w:r w:rsidRPr="007E433C">
              <w:rPr>
                <w:b/>
                <w:bCs/>
                <w:iCs/>
                <w:sz w:val="24"/>
              </w:rPr>
              <w:t>Lộ trình</w:t>
            </w:r>
          </w:p>
          <w:p w:rsidR="00365694" w:rsidRPr="007E433C" w:rsidRDefault="00365694" w:rsidP="00365694">
            <w:pPr>
              <w:jc w:val="center"/>
              <w:rPr>
                <w:b/>
                <w:bCs/>
                <w:sz w:val="24"/>
              </w:rPr>
            </w:pPr>
            <w:r w:rsidRPr="007E433C">
              <w:rPr>
                <w:b/>
                <w:bCs/>
                <w:iCs/>
                <w:sz w:val="24"/>
              </w:rPr>
              <w:t>xử lý</w:t>
            </w:r>
          </w:p>
        </w:tc>
        <w:tc>
          <w:tcPr>
            <w:tcW w:w="2610" w:type="dxa"/>
            <w:shd w:val="clear" w:color="auto" w:fill="F7CAAC" w:themeFill="accent2" w:themeFillTint="66"/>
            <w:vAlign w:val="center"/>
          </w:tcPr>
          <w:p w:rsidR="00365694" w:rsidRPr="007E433C" w:rsidRDefault="00365694" w:rsidP="00365694">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365694" w:rsidRPr="005B3849" w:rsidRDefault="00365694" w:rsidP="00365694">
            <w:pPr>
              <w:jc w:val="center"/>
              <w:rPr>
                <w:b/>
                <w:bCs/>
                <w:sz w:val="24"/>
              </w:rPr>
            </w:pPr>
            <w:r w:rsidRPr="005B3849">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1C2CC9">
        <w:trPr>
          <w:trHeight w:val="315"/>
        </w:trPr>
        <w:tc>
          <w:tcPr>
            <w:tcW w:w="14575" w:type="dxa"/>
            <w:gridSpan w:val="7"/>
            <w:vAlign w:val="center"/>
          </w:tcPr>
          <w:p w:rsidR="001C2CC9" w:rsidRDefault="00C44FF2">
            <w:pPr>
              <w:ind w:left="1080"/>
              <w:jc w:val="center"/>
              <w:rPr>
                <w:b/>
                <w:sz w:val="26"/>
                <w:szCs w:val="26"/>
              </w:rPr>
            </w:pPr>
            <w:r>
              <w:rPr>
                <w:b/>
                <w:sz w:val="26"/>
                <w:szCs w:val="26"/>
              </w:rPr>
              <w:t>I. KHOA HỌC VÀ CÔNG NGHỆ</w:t>
            </w:r>
          </w:p>
        </w:tc>
      </w:tr>
      <w:tr w:rsidR="001C2CC9">
        <w:tc>
          <w:tcPr>
            <w:tcW w:w="959" w:type="dxa"/>
            <w:vAlign w:val="center"/>
          </w:tcPr>
          <w:p w:rsidR="001C2CC9" w:rsidRDefault="00C44FF2">
            <w:pPr>
              <w:jc w:val="center"/>
              <w:rPr>
                <w:bCs/>
                <w:iCs/>
                <w:sz w:val="26"/>
                <w:szCs w:val="26"/>
              </w:rPr>
            </w:pPr>
            <w:r>
              <w:rPr>
                <w:bCs/>
                <w:iCs/>
                <w:sz w:val="26"/>
                <w:szCs w:val="26"/>
              </w:rPr>
              <w:t>1.</w:t>
            </w:r>
          </w:p>
        </w:tc>
        <w:tc>
          <w:tcPr>
            <w:tcW w:w="1826" w:type="dxa"/>
            <w:vAlign w:val="center"/>
          </w:tcPr>
          <w:p w:rsidR="001C2CC9" w:rsidRDefault="00C44FF2">
            <w:pPr>
              <w:jc w:val="both"/>
              <w:rPr>
                <w:bCs/>
                <w:iCs/>
                <w:sz w:val="26"/>
                <w:szCs w:val="26"/>
              </w:rPr>
            </w:pPr>
            <w:r>
              <w:rPr>
                <w:bCs/>
                <w:iCs/>
                <w:sz w:val="26"/>
                <w:szCs w:val="26"/>
              </w:rPr>
              <w:t xml:space="preserve">Nghị quyết số 81/2007/NQ-HĐND ngày 25/04/2007 của HĐND </w:t>
            </w:r>
            <w:r>
              <w:rPr>
                <w:bCs/>
                <w:iCs/>
                <w:sz w:val="26"/>
                <w:szCs w:val="26"/>
              </w:rPr>
              <w:t xml:space="preserve">tỉnh Quảng Nam Về phát triển Công nghệ thông tin tỉnh Quảng </w:t>
            </w:r>
            <w:r>
              <w:rPr>
                <w:bCs/>
                <w:iCs/>
                <w:sz w:val="26"/>
                <w:szCs w:val="26"/>
              </w:rPr>
              <w:lastRenderedPageBreak/>
              <w:t>Nam đến năm 2015</w:t>
            </w:r>
          </w:p>
        </w:tc>
        <w:tc>
          <w:tcPr>
            <w:tcW w:w="2143" w:type="dxa"/>
            <w:vAlign w:val="center"/>
          </w:tcPr>
          <w:p w:rsidR="001C2CC9" w:rsidRDefault="00C44FF2">
            <w:pPr>
              <w:jc w:val="both"/>
              <w:rPr>
                <w:bCs/>
                <w:iCs/>
                <w:sz w:val="26"/>
                <w:szCs w:val="26"/>
              </w:rPr>
            </w:pPr>
            <w:r>
              <w:rPr>
                <w:bCs/>
                <w:iCs/>
                <w:sz w:val="26"/>
                <w:szCs w:val="26"/>
              </w:rPr>
              <w:lastRenderedPageBreak/>
              <w:t xml:space="preserve">Luật Ban hành văn bản quy phạm pháp luật số 64/2025/QH15 (sửa đổi, bổ sung bởi Luật Ban hành văn bản quy phạm pháp luật số 87/2025/QH15); </w:t>
            </w:r>
            <w:r>
              <w:rPr>
                <w:bCs/>
                <w:iCs/>
                <w:sz w:val="26"/>
                <w:szCs w:val="26"/>
              </w:rPr>
              <w:lastRenderedPageBreak/>
              <w:t>Nghị quyết số 57-NQ/TW ngày 22/12/2024 củ</w:t>
            </w:r>
            <w:r>
              <w:rPr>
                <w:bCs/>
                <w:iCs/>
                <w:sz w:val="26"/>
                <w:szCs w:val="26"/>
              </w:rPr>
              <w:t>a Bộ Chính trị về đột phá phát triển khoa học, công nghệ, đổi mới sáng tạo và chuyển đổi số quốc gia.</w:t>
            </w:r>
          </w:p>
        </w:tc>
        <w:tc>
          <w:tcPr>
            <w:tcW w:w="3077" w:type="dxa"/>
            <w:vAlign w:val="center"/>
          </w:tcPr>
          <w:p w:rsidR="001C2CC9" w:rsidRDefault="00C44FF2">
            <w:pPr>
              <w:jc w:val="both"/>
              <w:rPr>
                <w:bCs/>
                <w:iCs/>
                <w:sz w:val="26"/>
                <w:szCs w:val="26"/>
              </w:rPr>
            </w:pPr>
            <w:r>
              <w:rPr>
                <w:bCs/>
                <w:iCs/>
                <w:sz w:val="26"/>
                <w:szCs w:val="26"/>
              </w:rPr>
              <w:lastRenderedPageBreak/>
              <w:t>Theo khoản 1 Mục II Nghị quyết số 81/2007/NQ-HĐND, quan điểm, mục tiêu phát triển tập trung vào việc xác định công nghệ thông tin (CNTT) là công cụ quan t</w:t>
            </w:r>
            <w:r>
              <w:rPr>
                <w:bCs/>
                <w:iCs/>
                <w:sz w:val="26"/>
                <w:szCs w:val="26"/>
              </w:rPr>
              <w:t xml:space="preserve">rọng phục vụ công nghiệp hóa, hiện đại hóa; ưu tiên phát triển công </w:t>
            </w:r>
            <w:r>
              <w:rPr>
                <w:bCs/>
                <w:iCs/>
                <w:sz w:val="26"/>
                <w:szCs w:val="26"/>
              </w:rPr>
              <w:lastRenderedPageBreak/>
              <w:t>nghiệp CNTT, đầu tư hạ tầng thông tin - truyền thông, phát triển nguồn nhân lực CNTT và đẩy mạnh ứng dụng CNTT trong các cơ quan nhà nước.</w:t>
            </w:r>
            <w:r>
              <w:rPr>
                <w:bCs/>
                <w:iCs/>
                <w:sz w:val="26"/>
                <w:szCs w:val="26"/>
              </w:rPr>
              <w:br/>
              <w:t>Tuy nhiên, sau gần 20 năm triển khai, bối cảnh ph</w:t>
            </w:r>
            <w:r>
              <w:rPr>
                <w:bCs/>
                <w:iCs/>
                <w:sz w:val="26"/>
                <w:szCs w:val="26"/>
              </w:rPr>
              <w:t>át triển đã có nhiều thay đổi căn bản. Quan điểm, mục tiêu nêu tại Nghị quyết không còn phù hợp với định hướng phát triển hiện nay, cụ thể như sau:</w:t>
            </w:r>
            <w:r>
              <w:rPr>
                <w:bCs/>
                <w:iCs/>
                <w:sz w:val="26"/>
                <w:szCs w:val="26"/>
              </w:rPr>
              <w:br/>
              <w:t xml:space="preserve">- Thứ nhất, phạm vi phát triển đã thay đổi từ "công nghệ thông tin" sang "khoa học, công nghệ, đổi mới sáng </w:t>
            </w:r>
            <w:r>
              <w:rPr>
                <w:bCs/>
                <w:iCs/>
                <w:sz w:val="26"/>
                <w:szCs w:val="26"/>
              </w:rPr>
              <w:t>tạo và chuyển đổi số". Nghị quyết số 57-NQ/TW xác định phát triển khoa học, công nghệ, đổi mới sáng tạo và chuyển đổi số quốc gia là đột phá quan trọng hàng đầu, là động lực chính để phát triển lực lượng sản xuất hiện đại và nâng cao năng lực cạnh tranh qu</w:t>
            </w:r>
            <w:r>
              <w:rPr>
                <w:bCs/>
                <w:iCs/>
                <w:sz w:val="26"/>
                <w:szCs w:val="26"/>
              </w:rPr>
              <w:t xml:space="preserve">ốc gia. Trong khi đó, Nghị quyết số 81/2007/NQ-HĐND chủ </w:t>
            </w:r>
            <w:r>
              <w:rPr>
                <w:bCs/>
                <w:iCs/>
                <w:sz w:val="26"/>
                <w:szCs w:val="26"/>
              </w:rPr>
              <w:lastRenderedPageBreak/>
              <w:t>yếu tiếp cận theo hướng ứng dụng CNTT phục vụ quản lý nhà nước và phát triển kinh tế - xã hội, chưa bao quát các nội dung mới như dữ liệu số, trí tuệ nhân tạo (AI), đổi mới sáng tạo, kinh tế số, xã hộ</w:t>
            </w:r>
            <w:r>
              <w:rPr>
                <w:bCs/>
                <w:iCs/>
                <w:sz w:val="26"/>
                <w:szCs w:val="26"/>
              </w:rPr>
              <w:t>i số và quản trị số.</w:t>
            </w:r>
            <w:r>
              <w:rPr>
                <w:bCs/>
                <w:iCs/>
                <w:sz w:val="26"/>
                <w:szCs w:val="26"/>
              </w:rPr>
              <w:br/>
              <w:t>- Thứ hai, định hướng phát triển ngành đã thay đổi. Trước đây, mục tiêu là phát triển công nghiệp công nghệ thông tin trở thành ngành kinh tế quan trọng. Hiện nay, Luật Công nghệ thông tin đã được thay thế bằng Luật Công nghiệp công ng</w:t>
            </w:r>
            <w:r>
              <w:rPr>
                <w:bCs/>
                <w:iCs/>
                <w:sz w:val="26"/>
                <w:szCs w:val="26"/>
              </w:rPr>
              <w:t xml:space="preserve">hệ số, với phạm vi rộng hơn, định hướng phát triển các ngành công nghiệp công nghệ số như trí tuệ nhân tạo, bán dẫn, dữ liệu, nền tảng số, công nghệ số "Make in Vietnam", dịch vụ số và các công nghệ chiến lược. Vì vậy, mục tiêu phát triển ngành trong Nghị </w:t>
            </w:r>
            <w:r>
              <w:rPr>
                <w:bCs/>
                <w:iCs/>
                <w:sz w:val="26"/>
                <w:szCs w:val="26"/>
              </w:rPr>
              <w:t>quyết cũ không còn phản ánh đúng định hướng phát triển của quốc gia trong giai đoạn mới.</w:t>
            </w:r>
            <w:r>
              <w:rPr>
                <w:bCs/>
                <w:iCs/>
                <w:sz w:val="26"/>
                <w:szCs w:val="26"/>
              </w:rPr>
              <w:br/>
            </w:r>
            <w:r>
              <w:rPr>
                <w:bCs/>
                <w:iCs/>
                <w:sz w:val="26"/>
                <w:szCs w:val="26"/>
              </w:rPr>
              <w:lastRenderedPageBreak/>
              <w:t xml:space="preserve">- Thứ ba, phương thức phát triển đã thay đổi từ ứng dụng CNTT sang phát triển dựa trên dữ liệu và chuyển đổi số toàn diện. Các mục tiêu hiện nay không chỉ dừng ở việc </w:t>
            </w:r>
            <w:r>
              <w:rPr>
                <w:bCs/>
                <w:iCs/>
                <w:sz w:val="26"/>
                <w:szCs w:val="26"/>
              </w:rPr>
              <w:t>đầu tư hạ tầng và ứng dụng CNTT mà hướng đến xây dựng hạ tầng số, dữ liệu số, nền tảng số dùng chung, phát triển dữ liệu mở, kinh tế dữ liệu, bảo đảm an toàn thông tin, thúc đẩy đổi mới sáng tạo và hình thành hệ sinh thái công nghệ số.</w:t>
            </w:r>
            <w:r>
              <w:rPr>
                <w:bCs/>
                <w:iCs/>
                <w:sz w:val="26"/>
                <w:szCs w:val="26"/>
              </w:rPr>
              <w:br/>
              <w:t xml:space="preserve">- Thứ tư, nhiều mục </w:t>
            </w:r>
            <w:r>
              <w:rPr>
                <w:bCs/>
                <w:iCs/>
                <w:sz w:val="26"/>
                <w:szCs w:val="26"/>
              </w:rPr>
              <w:t>tiêu của Nghị quyết số 81/2007/NQ-HĐND đã được kế thừa và cụ thể hóa trong các chủ trương, chương trình, đề án mới của Trung ương và thành phố. Đặc biệt, thành phố đã ban hành nhiều nghị quyết, chương trình, kế hoạch và đề án về chuyển đổi số, phát triển h</w:t>
            </w:r>
            <w:r>
              <w:rPr>
                <w:bCs/>
                <w:iCs/>
                <w:sz w:val="26"/>
                <w:szCs w:val="26"/>
              </w:rPr>
              <w:t xml:space="preserve">ạ tầng số, dữ liệu số, đô thị thông minh, khoa học công nghệ và đổi mới sáng tạo, với phạm vi điều chỉnh toàn diện hơn, mục tiêu cao </w:t>
            </w:r>
            <w:r>
              <w:rPr>
                <w:bCs/>
                <w:iCs/>
                <w:sz w:val="26"/>
                <w:szCs w:val="26"/>
              </w:rPr>
              <w:lastRenderedPageBreak/>
              <w:t>hơn và phù hợp với yêu cầu phát triển trong giai đoạn hiện nay. Các văn bản này đã bao quát đầy đủ những nội dung trước đây</w:t>
            </w:r>
            <w:r>
              <w:rPr>
                <w:bCs/>
                <w:iCs/>
                <w:sz w:val="26"/>
                <w:szCs w:val="26"/>
              </w:rPr>
              <w:t xml:space="preserve"> của Nghị quyết số 81/2007/NQ-HĐND, đồng thời bổ sung nhiều định hướng mới như phát triển kinh tế số, xã hội số, chính quyền số, dữ liệu số, nền tảng số, công nghiệp công nghệ số và ứng dụng các công nghệ mới. Ngoài ra, Nghị quyết cũ chỉ có trong phạm vi Q</w:t>
            </w:r>
            <w:r>
              <w:rPr>
                <w:bCs/>
                <w:iCs/>
                <w:sz w:val="26"/>
                <w:szCs w:val="26"/>
              </w:rPr>
              <w:t>uảng Nam, hiện nay, sau sắp xếp đơn vị hành chính, thành phố Đà Nẵng mới đã có Đề án Chuyển đổi số tổng thể hơn.</w:t>
            </w:r>
            <w:r>
              <w:rPr>
                <w:bCs/>
                <w:iCs/>
                <w:sz w:val="26"/>
                <w:szCs w:val="26"/>
              </w:rPr>
              <w:br/>
              <w:t>Bên cạnh đó, hiện nay thời gian thực hiện của Nghị quyết đã hết, do đó, việc xử lý văn bản trên là cần thiết, đảm bảo phù hợp quy định tại Luật</w:t>
            </w:r>
            <w:r>
              <w:rPr>
                <w:bCs/>
                <w:iCs/>
                <w:sz w:val="26"/>
                <w:szCs w:val="26"/>
              </w:rPr>
              <w:t xml:space="preserve"> ban hành VBQPPL. </w:t>
            </w:r>
            <w:r>
              <w:rPr>
                <w:bCs/>
                <w:iCs/>
                <w:sz w:val="26"/>
                <w:szCs w:val="26"/>
              </w:rPr>
              <w:br/>
              <w:t xml:space="preserve">Từ những phân tích trên có thể thấy, cả quan điểm, mục tiêu và nhóm giải pháp của Nghị quyết số 81/2007/NQ-HĐND đều đã </w:t>
            </w:r>
            <w:r>
              <w:rPr>
                <w:bCs/>
                <w:iCs/>
                <w:sz w:val="26"/>
                <w:szCs w:val="26"/>
              </w:rPr>
              <w:lastRenderedPageBreak/>
              <w:t>được thay thế bằng các định hướng phát triển mới của Trung ương và thành phố, phù hợp với yêu cầu phát triển khoa học,</w:t>
            </w:r>
            <w:r>
              <w:rPr>
                <w:bCs/>
                <w:iCs/>
                <w:sz w:val="26"/>
                <w:szCs w:val="26"/>
              </w:rPr>
              <w:t xml:space="preserve"> công nghệ, đổi mới sáng tạo và chuyển đổi số trong giai đoạn hiện nay. Do đó, việc bãi bỏ Nghị quyết là cần thiết nhằm bảo đảm tính thống nhất, đồng bộ của hệ thống văn bản quy phạm pháp luật và phù hợp với thực tiễn phát triển.</w:t>
            </w:r>
          </w:p>
        </w:tc>
        <w:tc>
          <w:tcPr>
            <w:tcW w:w="1980" w:type="dxa"/>
            <w:vAlign w:val="center"/>
          </w:tcPr>
          <w:p w:rsidR="001C2CC9" w:rsidRDefault="00C44FF2">
            <w:pPr>
              <w:jc w:val="both"/>
              <w:rPr>
                <w:bCs/>
                <w:iCs/>
                <w:sz w:val="26"/>
                <w:szCs w:val="26"/>
              </w:rPr>
            </w:pPr>
            <w:r>
              <w:rPr>
                <w:bCs/>
                <w:iCs/>
                <w:sz w:val="26"/>
                <w:szCs w:val="26"/>
              </w:rPr>
              <w:lastRenderedPageBreak/>
              <w:t>Trình HĐND thành phố trong</w:t>
            </w:r>
            <w:r>
              <w:rPr>
                <w:bCs/>
                <w:iCs/>
                <w:sz w:val="26"/>
                <w:szCs w:val="26"/>
              </w:rPr>
              <w:t xml:space="preserve"> năm 2026</w:t>
            </w:r>
          </w:p>
        </w:tc>
        <w:tc>
          <w:tcPr>
            <w:tcW w:w="2610" w:type="dxa"/>
            <w:vAlign w:val="center"/>
          </w:tcPr>
          <w:p w:rsidR="001C2CC9" w:rsidRDefault="00C44FF2">
            <w:pPr>
              <w:jc w:val="both"/>
              <w:rPr>
                <w:bCs/>
                <w:iCs/>
                <w:sz w:val="26"/>
                <w:szCs w:val="26"/>
              </w:rPr>
            </w:pPr>
            <w:r>
              <w:rPr>
                <w:bCs/>
                <w:iCs/>
                <w:sz w:val="26"/>
                <w:szCs w:val="26"/>
              </w:rPr>
              <w:t>Tiêu chí 1.2 - Tiêu chí về khoa học, công nghệ; Tiêu chí 2.3</w:t>
            </w:r>
          </w:p>
        </w:tc>
        <w:tc>
          <w:tcPr>
            <w:tcW w:w="1980" w:type="dxa"/>
            <w:vAlign w:val="center"/>
          </w:tcPr>
          <w:p w:rsidR="001C2CC9" w:rsidRDefault="00C44FF2">
            <w:pPr>
              <w:jc w:val="both"/>
              <w:rPr>
                <w:bCs/>
                <w:iCs/>
                <w:sz w:val="26"/>
                <w:szCs w:val="26"/>
              </w:rPr>
            </w:pPr>
            <w:r>
              <w:rPr>
                <w:bCs/>
                <w:iCs/>
                <w:sz w:val="26"/>
                <w:szCs w:val="26"/>
              </w:rPr>
              <w:t xml:space="preserve"> </w:t>
            </w:r>
            <w:r w:rsidR="00365694">
              <w:rPr>
                <w:bCs/>
                <w:iCs/>
                <w:sz w:val="26"/>
                <w:szCs w:val="26"/>
              </w:rPr>
              <w:t>Nhất trí</w:t>
            </w:r>
          </w:p>
        </w:tc>
      </w:tr>
      <w:tr w:rsidR="00365694" w:rsidTr="00926ED2">
        <w:tc>
          <w:tcPr>
            <w:tcW w:w="959" w:type="dxa"/>
            <w:vAlign w:val="center"/>
          </w:tcPr>
          <w:p w:rsidR="00365694" w:rsidRDefault="00365694" w:rsidP="00365694">
            <w:pPr>
              <w:jc w:val="center"/>
              <w:rPr>
                <w:bCs/>
                <w:iCs/>
                <w:sz w:val="26"/>
                <w:szCs w:val="26"/>
              </w:rPr>
            </w:pPr>
            <w:bookmarkStart w:id="2" w:name="_GoBack" w:colFirst="6" w:colLast="6"/>
            <w:r>
              <w:rPr>
                <w:bCs/>
                <w:iCs/>
                <w:sz w:val="26"/>
                <w:szCs w:val="26"/>
              </w:rPr>
              <w:lastRenderedPageBreak/>
              <w:t>2.</w:t>
            </w:r>
          </w:p>
        </w:tc>
        <w:tc>
          <w:tcPr>
            <w:tcW w:w="1826" w:type="dxa"/>
            <w:vAlign w:val="center"/>
          </w:tcPr>
          <w:p w:rsidR="00365694" w:rsidRDefault="00365694" w:rsidP="00365694">
            <w:pPr>
              <w:jc w:val="both"/>
              <w:rPr>
                <w:bCs/>
                <w:iCs/>
                <w:sz w:val="26"/>
                <w:szCs w:val="26"/>
              </w:rPr>
            </w:pPr>
            <w:r>
              <w:rPr>
                <w:bCs/>
                <w:iCs/>
                <w:sz w:val="26"/>
                <w:szCs w:val="26"/>
              </w:rPr>
              <w:t>Nghị quyết số 270/2019/NQ-HĐND ngày 12/12/2019 của HĐND thành phố Đà Nẵng Quy định chính sách hỗ trợ phát triển Công nghệ thông tin trên địa bàn thành phố Đà Nẵng</w:t>
            </w:r>
          </w:p>
        </w:tc>
        <w:tc>
          <w:tcPr>
            <w:tcW w:w="2143" w:type="dxa"/>
            <w:vAlign w:val="center"/>
          </w:tcPr>
          <w:p w:rsidR="00365694" w:rsidRDefault="00365694" w:rsidP="00365694">
            <w:pPr>
              <w:jc w:val="both"/>
              <w:rPr>
                <w:bCs/>
                <w:iCs/>
                <w:sz w:val="26"/>
                <w:szCs w:val="26"/>
              </w:rPr>
            </w:pPr>
            <w:r>
              <w:rPr>
                <w:bCs/>
                <w:iCs/>
                <w:sz w:val="26"/>
                <w:szCs w:val="26"/>
              </w:rPr>
              <w:t>- Luật Công nghiệp công nghệ số số 71/2025/QH15</w:t>
            </w:r>
            <w:r>
              <w:rPr>
                <w:bCs/>
                <w:iCs/>
                <w:sz w:val="26"/>
                <w:szCs w:val="26"/>
              </w:rPr>
              <w:br/>
              <w:t xml:space="preserve">- Nghị quyết số 136/2024/QH15 ngày 26 tháng 6 năm 2024 của Quốc hội về tổ chức chính quyền đô thị và thí điểm một số cơ chế, chính sách đặc thù phát triển thành phố Đà Nẵng </w:t>
            </w:r>
            <w:r>
              <w:rPr>
                <w:bCs/>
                <w:iCs/>
                <w:sz w:val="26"/>
                <w:szCs w:val="26"/>
              </w:rPr>
              <w:br/>
              <w:t xml:space="preserve">- Nghị quyết số 259/2025/QH15 ngày 11 tháng 12 </w:t>
            </w:r>
            <w:r>
              <w:rPr>
                <w:bCs/>
                <w:iCs/>
                <w:sz w:val="26"/>
                <w:szCs w:val="26"/>
              </w:rPr>
              <w:lastRenderedPageBreak/>
              <w:t>năm 2025 của Quốc hội sửa đổi, bổ sung một số điều của Nghị quyết số 136/2024/QH15</w:t>
            </w:r>
            <w:r>
              <w:rPr>
                <w:bCs/>
                <w:iCs/>
                <w:sz w:val="26"/>
                <w:szCs w:val="26"/>
              </w:rPr>
              <w:br/>
              <w:t>- Nghị định số 353/2025/NĐ-CP của Chính phủ quy định chi tiết một số điều và biện pháp để tổ chức, hướng dẫn thi hành Luật Công nghiệp công nghệ số</w:t>
            </w:r>
          </w:p>
        </w:tc>
        <w:tc>
          <w:tcPr>
            <w:tcW w:w="3077" w:type="dxa"/>
            <w:vAlign w:val="center"/>
          </w:tcPr>
          <w:p w:rsidR="00365694" w:rsidRDefault="00365694" w:rsidP="00365694">
            <w:pPr>
              <w:jc w:val="both"/>
              <w:rPr>
                <w:bCs/>
                <w:iCs/>
                <w:sz w:val="26"/>
                <w:szCs w:val="26"/>
              </w:rPr>
            </w:pPr>
            <w:r>
              <w:rPr>
                <w:bCs/>
                <w:iCs/>
                <w:sz w:val="26"/>
                <w:szCs w:val="26"/>
              </w:rPr>
              <w:lastRenderedPageBreak/>
              <w:t xml:space="preserve">Nghị quyết số 270/2019/NQ-HĐND căn cứ Luật Công nghệ thông tin ngày 29/6/2006. Hiện Mục 3, Mục 4 Chương III Luật Công nghệ thông tin đã bị bãi bỏ bởi khoản 1, Điều 49 Luật Công nghiệp công nghệ số (có hiệu lực từ tháng 01/01/2026) và Luật Công nghệ thông tin sẽ hết hiệu lực vào tháng 6 năm 2026; một số nội dung tại Nghị quyết số 270/2019/NQ-HĐND đã lỗi thời, không còn phù hợp trong thực tế và các quy định tại Luật Công nghiệp </w:t>
            </w:r>
            <w:r>
              <w:rPr>
                <w:bCs/>
                <w:iCs/>
                <w:sz w:val="26"/>
                <w:szCs w:val="26"/>
              </w:rPr>
              <w:lastRenderedPageBreak/>
              <w:t xml:space="preserve">công nghệ số và Nghị quyết số 136/2024/QH15, Nghị quyết số 259/2025/QH15, cụ thể: </w:t>
            </w:r>
            <w:r>
              <w:rPr>
                <w:bCs/>
                <w:iCs/>
                <w:sz w:val="26"/>
                <w:szCs w:val="26"/>
              </w:rPr>
              <w:br/>
              <w:t xml:space="preserve">a) Tại Điều 2. Đối tượng áp dụng: Nghị quyết số 270/2019/NQ-HĐND chỉ áp dụng đối với doanh nghiệp siêu nhỏ, nhỏ và vừa hoạt động trong lĩnh vực CNTT, 100% vốn trong nước, được thành lập và hoạt động theo Luật Doanh nghiệp, có trụ sở chính đóng trên địa bàn thành phố Đà Nẵng; </w:t>
            </w:r>
            <w:r>
              <w:rPr>
                <w:bCs/>
                <w:iCs/>
                <w:sz w:val="26"/>
                <w:szCs w:val="26"/>
              </w:rPr>
              <w:br/>
              <w:t xml:space="preserve">Do đó, các doanh nghiệp/nhà đầu tư lớn hoặc có vốn đầu tư nước ngoài không thuộc đối tượng thụ hưởng chính sách; trong khi đó, định hướng chiến lược của thành phố hiện nay là thu hút nhà đầu tư, đối tác chiến lược lớn lĩnh vực công nghệ số, công nghệ chiến lược, vi mạch bán dẫn, trí tuệ nhân tạo.  </w:t>
            </w:r>
            <w:r>
              <w:rPr>
                <w:bCs/>
                <w:iCs/>
                <w:sz w:val="26"/>
                <w:szCs w:val="26"/>
              </w:rPr>
              <w:br/>
              <w:t xml:space="preserve">b) Tại Điều 3. Điều kiện hỗ trợ: tập trung vào “kim ngạch xuất khẩu phần mềm, nội dung số đạt trên </w:t>
            </w:r>
            <w:r>
              <w:rPr>
                <w:bCs/>
                <w:iCs/>
                <w:sz w:val="26"/>
                <w:szCs w:val="26"/>
              </w:rPr>
              <w:lastRenderedPageBreak/>
              <w:t xml:space="preserve">100.000 USD/năm” hoặc “có sản phẩm công nghệ thông tin được nhận các giải thưởng: Sáng tạo Khoa học Công nghệ Việt Nam, Sao Khuê, Nhân tài Đất Việt”;… Trong thực thi Nghị quyết số 270/2019/NQ-HĐND, một số Doanh nghiệp không chứng minh được doanh thu xuất khẩu phần mềm trong tổng doanh thu của đơn vị, không cung cấp được đầy đủ hóa đơn, chứng từ liên quan,… Đồng thời, nội dung này không còn phù hợp trong thực tế khi trí tuệ nhân tạo ngày càng phát triển, buộc doanh nghiệp gia công, xuất khẩu phần mềm dần thay đổi mô hình để thích nghi và phát triển; Luật Công nghiệp công nghệ số cũng đã quy định rõ về hoạt động công nghiệp công nghệ số bao gồm sản xuất sản phẩm công nghệ số và cung cấp dịch vụ công nghệ số với các ưu đãi liên quan. </w:t>
            </w:r>
            <w:r>
              <w:rPr>
                <w:bCs/>
                <w:iCs/>
                <w:sz w:val="26"/>
                <w:szCs w:val="26"/>
              </w:rPr>
              <w:br/>
              <w:t xml:space="preserve">c) Tại Chương II. Nội dung </w:t>
            </w:r>
            <w:r>
              <w:rPr>
                <w:bCs/>
                <w:iCs/>
                <w:sz w:val="26"/>
                <w:szCs w:val="26"/>
              </w:rPr>
              <w:lastRenderedPageBreak/>
              <w:t>và định mức hỗ trợ Nghị quyết số 270/2019/NQ-HĐND hỗ trợ bao gồm các nhóm chính sách sau: hỗ trợ cơ sở mặt bằng (Hỗ trợ 50% chi phí thuê mặt bằng tại khu CNTT, công viên phần mềm (tối đa 200 m²; Hỗ trợ chi phí hosting, máy chủ, dịch vụ lưu trữ dữ liệu); Hỗ trợ đào tạo, xây dựng quy trình sản xuất phần mềm, nội dung số; Hỗ trợ xúc tiến thương mại, phát triển thị trường; Hỗ trợ nghiên cứu khoa học; Hỗ trợ lãi suất vay vốn. Tuy nhiên:</w:t>
            </w:r>
            <w:r>
              <w:rPr>
                <w:bCs/>
                <w:iCs/>
                <w:sz w:val="26"/>
                <w:szCs w:val="26"/>
              </w:rPr>
              <w:br/>
              <w:t>- Một số nội dung của Nghị quyết số 270/2019/NQ-HĐND đã trở thành dịch vụ phổ biến, không còn thu hút doanh nghiệp quan tâm (hỗ trợ hosting, thuê máy chủ, Website…)</w:t>
            </w:r>
            <w:r>
              <w:rPr>
                <w:bCs/>
                <w:iCs/>
                <w:sz w:val="26"/>
                <w:szCs w:val="26"/>
              </w:rPr>
              <w:br/>
              <w:t xml:space="preserve">- Thực tế triển khai, cả 06/06 doanh nghiệp thụ hưởng chính sách đều đề xuất hỗ trợ chi phí thuê mặt bằng theo khoản 1 Điều 5 Quy định kèm theo Nghị quyết số 270/2019/NQ-HĐND; chưa phát sinh hồ </w:t>
            </w:r>
            <w:r>
              <w:rPr>
                <w:bCs/>
                <w:iCs/>
                <w:sz w:val="26"/>
                <w:szCs w:val="26"/>
              </w:rPr>
              <w:lastRenderedPageBreak/>
              <w:t xml:space="preserve">sơ đề nghị hỗ trợ đối với các nội dung còn lại (khoản 2, khoản 3 Điều 5, Điều 6, Điều 7, điều 8, Điều 9 Quy định kèm theo Nghị quyết số 270/2019/NQ-HĐND). Đồng thời, số tiền hỗ trợ không nhiều nhưng phải chứng minh nhiều hồ sơ, hợp đồng, hóa đơn, chứng từ; đồng thời với yêu cầu: không bao gồm chi phí dịch vụ, các doanh nghiệp tại các Tòa nhà cho thuê tập trung và dùng chung trên địa bàn thành phố chưa có tài liệu chứng minh, tách được chi phí dịch vụ (bảo vệ, vệ sinh,…) ra khỏi chi phí thuê mặt bằng nên chưa đáp ứng điều kiện được hỗ trợ, chưa khuyến khích, thu hút mạnh mẽ các doanh nghiệp quan tâm. </w:t>
            </w:r>
            <w:r>
              <w:rPr>
                <w:bCs/>
                <w:iCs/>
                <w:sz w:val="26"/>
                <w:szCs w:val="26"/>
              </w:rPr>
              <w:br/>
              <w:t xml:space="preserve">d) Đến nay chính sách hỗ trợ doanh nghiệp công nghệ số đã được mở rộng đáng kể theo các quy định tại Luật Công nghiệp công nghệ số và Nghị quyết số 136/2024/QH15, Nghị quyết số 259/2025/QH15, </w:t>
            </w:r>
            <w:r>
              <w:rPr>
                <w:bCs/>
                <w:iCs/>
                <w:sz w:val="26"/>
                <w:szCs w:val="26"/>
              </w:rPr>
              <w:lastRenderedPageBreak/>
              <w:t>với phạm vi và nội dung hỗ trợ hoạt động công nghiệp công nghệ số toàn diện và vượt trội hơn so với Nghị quyết 270/2019/NQ-HĐND, cụ thể:</w:t>
            </w:r>
            <w:r>
              <w:rPr>
                <w:bCs/>
                <w:iCs/>
                <w:sz w:val="26"/>
                <w:szCs w:val="26"/>
              </w:rPr>
              <w:br/>
              <w:t xml:space="preserve">Điều 13 Luật Công nghiệp công nghệ số quy định về hoạt động công nghiệp công nghệ số và Điều 3 Nghị định số 353/2025/NĐ-CP của Chính phủ quy định chi tiết một số điều và biện pháp để tổ chức, hướng dẫn thi hành Luật Công nghiệp công nghệ số, đã quy định hoạt động công nghiệp công nghệ số được hỗ trợ: </w:t>
            </w:r>
            <w:r>
              <w:rPr>
                <w:bCs/>
                <w:iCs/>
                <w:sz w:val="26"/>
                <w:szCs w:val="26"/>
              </w:rPr>
              <w:br/>
              <w:t>“1. Đối với sản phẩm, dịch vụ công nghệ số</w:t>
            </w:r>
            <w:r>
              <w:rPr>
                <w:bCs/>
                <w:iCs/>
                <w:sz w:val="26"/>
                <w:szCs w:val="26"/>
              </w:rPr>
              <w:br/>
              <w:t>a) Sản xuất sản phẩm công nghệ số, cung cấp dịch vụ công nghệ số được hưởng hỗ trợ, ưu đãi đầu tư theo quy định tại Điều 28 của Luật Công nghiệp công nghệ số;</w:t>
            </w:r>
            <w:r>
              <w:rPr>
                <w:bCs/>
                <w:iCs/>
                <w:sz w:val="26"/>
                <w:szCs w:val="26"/>
              </w:rPr>
              <w:br/>
              <w:t xml:space="preserve">b) Ưu đãi thuê, mua sắm sản phẩm, dịch vụ công nghệ số sử dụng vốn ngân sách nhà nước theo quy </w:t>
            </w:r>
            <w:r>
              <w:rPr>
                <w:bCs/>
                <w:iCs/>
                <w:sz w:val="26"/>
                <w:szCs w:val="26"/>
              </w:rPr>
              <w:lastRenderedPageBreak/>
              <w:t>định tại Điều 31 của Luật Công nghiệp công nghệ số;</w:t>
            </w:r>
            <w:r>
              <w:rPr>
                <w:bCs/>
                <w:iCs/>
                <w:sz w:val="26"/>
                <w:szCs w:val="26"/>
              </w:rPr>
              <w:br/>
              <w:t>c) Nghiên cứu và phát triển sản phẩm, dịch vụ công nghệ số được hưởng ưu đãi, hỗ trợ theo quy định tại Điều 16 và Điều 17 của Luật Công nghiệp công nghệ số.</w:t>
            </w:r>
            <w:r>
              <w:rPr>
                <w:bCs/>
                <w:iCs/>
                <w:sz w:val="26"/>
                <w:szCs w:val="26"/>
              </w:rPr>
              <w:br/>
              <w:t>2. Đối với đầu tư xây dựng hạ tầng công nghiệp công nghệ số, khu công nghệ số tập trung được hưởng ưu tiên, ưu đãi, hỗ trợ theo quy định tại Điều 21 và Điều 24 của Luật Công nghiệp công nghệ số.</w:t>
            </w:r>
            <w:r>
              <w:rPr>
                <w:bCs/>
                <w:iCs/>
                <w:sz w:val="26"/>
                <w:szCs w:val="26"/>
              </w:rPr>
              <w:br/>
              <w:t>3. Đối với công nghiệp bán dẫn</w:t>
            </w:r>
            <w:r>
              <w:rPr>
                <w:bCs/>
                <w:iCs/>
                <w:sz w:val="26"/>
                <w:szCs w:val="26"/>
              </w:rPr>
              <w:br/>
              <w:t>a) Phát triển công nghiệp bán dẫn được hưởng cơ chế, chính sách đặc thù quy định tại Điều 39 của Luật Công nghiệp công nghệ số;</w:t>
            </w:r>
            <w:r>
              <w:rPr>
                <w:bCs/>
                <w:iCs/>
                <w:sz w:val="26"/>
                <w:szCs w:val="26"/>
              </w:rPr>
              <w:br/>
              <w:t>b) Doanh nghiệp tham gia chuỗi cung ứng bán dẫn được hưởng ưu đãi, hỗ trợ theo quy định tại Điều 40 của Luật Công nghiệp công nghệ số.</w:t>
            </w:r>
            <w:r>
              <w:rPr>
                <w:bCs/>
                <w:iCs/>
                <w:sz w:val="26"/>
                <w:szCs w:val="26"/>
              </w:rPr>
              <w:br/>
              <w:t xml:space="preserve">4. Dự án khởi nghiệp sáng tạo trong công nghiệp công </w:t>
            </w:r>
            <w:r>
              <w:rPr>
                <w:bCs/>
                <w:iCs/>
                <w:sz w:val="26"/>
                <w:szCs w:val="26"/>
              </w:rPr>
              <w:lastRenderedPageBreak/>
              <w:t>nghệ số được hưởng ưu đãi, hỗ trợ theo quy định tại Điều 29 của Luật Công nghiệp công nghệ số”</w:t>
            </w:r>
            <w:r>
              <w:rPr>
                <w:bCs/>
                <w:iCs/>
                <w:sz w:val="26"/>
                <w:szCs w:val="26"/>
              </w:rPr>
              <w:br/>
              <w:t xml:space="preserve">Theo đó, các chính sách thụ hưởng gồm có: </w:t>
            </w:r>
            <w:r>
              <w:rPr>
                <w:bCs/>
                <w:iCs/>
                <w:sz w:val="26"/>
                <w:szCs w:val="26"/>
              </w:rPr>
              <w:br/>
              <w:t xml:space="preserve">+ Sản xuất sản phẩm công nghệ số, cung cấp dịch vụ công nghệ số và dự án sản xuất sản phẩm phụ trợ trực tiếp trong công nghiệp bán dẫn được hỗ trợ ưu đãi đầu tư (ưu đãi đầu tư; đặc biệt ưu đãi đầu tư; Dự án ưu đãi, hỗ trợ đầu tư đặc biệt); ưu tiên về hải quan (Điều 28 và Điều 40 Luật Công nghiệp công nghệ số); </w:t>
            </w:r>
            <w:r>
              <w:rPr>
                <w:bCs/>
                <w:iCs/>
                <w:sz w:val="26"/>
                <w:szCs w:val="26"/>
              </w:rPr>
              <w:br/>
              <w:t xml:space="preserve">Ngoài ra, Dự án sản xuất sản phẩm công nghệ số trọng điểm, Dự án nghiên cứu và phát triển, thiết kế, sản xuất, đóng gói, kiểm thử sản phẩm chip bán dẫn, Dự án xây dựng trung tâm dữ liệu trí tuệ nhân tạo được Nhà nước hỗ trợ trực tiếp chi phí đầu tư từ ngân sách địa phương theo quy định, gồm (1) Chi phí đầu tư xây dựng nhà máy, (2) Hạ tầng kỹ thuật, (3) Trang thiết bị, </w:t>
            </w:r>
            <w:r>
              <w:rPr>
                <w:bCs/>
                <w:iCs/>
                <w:sz w:val="26"/>
                <w:szCs w:val="26"/>
              </w:rPr>
              <w:lastRenderedPageBreak/>
              <w:t xml:space="preserve">máy móc cần thiết cho hoạt động của dự án; (khoản 4 Điều 28 Luật Công nghiệp công nghệ số). </w:t>
            </w:r>
            <w:r>
              <w:rPr>
                <w:bCs/>
                <w:iCs/>
                <w:sz w:val="26"/>
                <w:szCs w:val="26"/>
              </w:rPr>
              <w:br/>
              <w:t>+ Hoạt động nghiên cứu và phát triển sản phẩm, dịch vụ công nghệ số được hưởng mức ưu đãi cao nhất theo pháp luật về khoa học, công nghệ, đổi mới sáng tạo và chuyển đổi số; được hỗ trợ tài chính; ưu tiên sử dụng cơ sở hạ tầng; ưu đãi thuế thu nhập doanh nghiệp; ưu tiên đầu tư; được nhà nước hỗ trợ, tài trợ kinh phí cho các chương trình, nhiệm vụ nghiên cứu và phát triển, đổi mới sáng tạo công nghệ số (Điều 16, 17 Luật Công nghiệp công nghệ số)</w:t>
            </w:r>
            <w:r>
              <w:rPr>
                <w:bCs/>
                <w:iCs/>
                <w:sz w:val="26"/>
                <w:szCs w:val="26"/>
              </w:rPr>
              <w:br/>
              <w:t xml:space="preserve">+ Dự án khởi nghiệp sáng tạo trong công nghiệp công nghệ số được hỗ trợ kinh phí từ ngân sách địa phương theo quy định cho các hoạt động bao gồm: (1) Đào tạo phát triển nguồn nhân lực công nghiệp công nghệ số; (2) Thu hút nguồn nhân lực công nghiệp công </w:t>
            </w:r>
            <w:r>
              <w:rPr>
                <w:bCs/>
                <w:iCs/>
                <w:sz w:val="26"/>
                <w:szCs w:val="26"/>
              </w:rPr>
              <w:lastRenderedPageBreak/>
              <w:t xml:space="preserve">nghệ số chất lượng cao, nhân tài công nghệ số; (3) Nghiên cứu và phát triển; sản xuất thử nghiệm; (4) Tư vấn khởi nghiệp; (5) Mua công nghệ và đổi mới công nghệ (Điều 29 Luật Công nghiệp công nghệ số). </w:t>
            </w:r>
            <w:r>
              <w:rPr>
                <w:bCs/>
                <w:iCs/>
                <w:sz w:val="26"/>
                <w:szCs w:val="26"/>
              </w:rPr>
              <w:br/>
              <w:t xml:space="preserve">+ Về công nghiệp bán dẫn: </w:t>
            </w:r>
            <w:r>
              <w:rPr>
                <w:bCs/>
                <w:iCs/>
                <w:sz w:val="26"/>
                <w:szCs w:val="26"/>
              </w:rPr>
              <w:br/>
              <w:t>++ Hỗ trợ ưu đãi đầu tư; được phép nhập khẩu dây chuyền công nghệ, thiết bị, máy móc, công cụ đã qua sử dụng phục vụ trực tiếp sản xuất (khoản 1, 3 Điều 39 Luật Công nghiệp Công nghệ số); ưu đãi thuế thu nhập doanh nghiệp (khoản 5 Điều 40 khoản  Luật Công nghiệp Công nghệ số)</w:t>
            </w:r>
            <w:r>
              <w:rPr>
                <w:bCs/>
                <w:iCs/>
                <w:sz w:val="26"/>
                <w:szCs w:val="26"/>
              </w:rPr>
              <w:br/>
              <w:t xml:space="preserve">++ Doanh nghiệp thực hiện dự án thiết kế chip bán dẫn được hỗ trợ kinh phí trực tiếp cho các nội dung: đào tạo phát triển nguồn nhân lực, nghiên cứu và phát triển, sản xuất thử nghiệm, mua sắm máy móc, thiết bị, công nghệ và đổi mới công nghệ từ ngân sách địa phương hoặc từ nguồn tài chính cho phát triển công </w:t>
            </w:r>
            <w:r>
              <w:rPr>
                <w:bCs/>
                <w:iCs/>
                <w:sz w:val="26"/>
                <w:szCs w:val="26"/>
              </w:rPr>
              <w:lastRenderedPageBreak/>
              <w:t xml:space="preserve">nghiệp công nghệ số (khoản 2 Điều 39 Luật Công nghiệp công nghệ số).  </w:t>
            </w:r>
            <w:r>
              <w:rPr>
                <w:bCs/>
                <w:iCs/>
                <w:sz w:val="26"/>
                <w:szCs w:val="26"/>
              </w:rPr>
              <w:br/>
              <w:t xml:space="preserve">Dự án sản xuất sản phẩm phụ trợ trực tiếp trong công nghiệp bán dẫn và dự án sản xuất thiết bị điện tử còn có thể được hỗ trợ một phần hoặc toàn bộ kinh phí để sản xuất mẫu thử, mua công nghệ, đổi mới công nghệ từ ngân sách địa phương hoặc từ nguồn tài chính cho phát triển công nghiệp công nghệ số (khoản 6 Điều 40 Luật Công nghiệp công nghệ số). </w:t>
            </w:r>
            <w:r>
              <w:rPr>
                <w:bCs/>
                <w:iCs/>
                <w:sz w:val="26"/>
                <w:szCs w:val="26"/>
              </w:rPr>
              <w:br/>
              <w:t>+ Luật Công nghiệp công nghệ số còn có phát triển hạ tầng công nghiệp công nghệ số (Mục 4 gồm Điều 21 đến Điều 25); phát triển thị trường cho công nghiệp công nghệ số (Mục 7); phát triển nhân lực công nghiệp công nghệ số (Điều 18).</w:t>
            </w:r>
          </w:p>
        </w:tc>
        <w:tc>
          <w:tcPr>
            <w:tcW w:w="1980" w:type="dxa"/>
            <w:vAlign w:val="center"/>
          </w:tcPr>
          <w:p w:rsidR="00365694" w:rsidRDefault="00365694" w:rsidP="00365694">
            <w:pPr>
              <w:jc w:val="both"/>
              <w:rPr>
                <w:bCs/>
                <w:iCs/>
                <w:sz w:val="26"/>
                <w:szCs w:val="26"/>
              </w:rPr>
            </w:pPr>
            <w:r>
              <w:rPr>
                <w:bCs/>
                <w:iCs/>
                <w:sz w:val="26"/>
                <w:szCs w:val="26"/>
              </w:rPr>
              <w:lastRenderedPageBreak/>
              <w:t>Trình HĐND thành phố thông qua tại Kỳ họp giữa kỳ tháng 7/2026</w:t>
            </w:r>
          </w:p>
        </w:tc>
        <w:tc>
          <w:tcPr>
            <w:tcW w:w="2610" w:type="dxa"/>
            <w:vAlign w:val="center"/>
          </w:tcPr>
          <w:p w:rsidR="00365694" w:rsidRDefault="00365694" w:rsidP="00365694">
            <w:pPr>
              <w:jc w:val="both"/>
              <w:rPr>
                <w:bCs/>
                <w:iCs/>
                <w:sz w:val="26"/>
                <w:szCs w:val="26"/>
              </w:rPr>
            </w:pPr>
            <w:r>
              <w:rPr>
                <w:bCs/>
                <w:iCs/>
                <w:sz w:val="26"/>
                <w:szCs w:val="26"/>
              </w:rPr>
              <w:t>Tiêu chí 2.3; Tiêu chí 1.2 - Tiêu chí về khoa học, công nghệ</w:t>
            </w:r>
          </w:p>
        </w:tc>
        <w:tc>
          <w:tcPr>
            <w:tcW w:w="1980" w:type="dxa"/>
          </w:tcPr>
          <w:p w:rsidR="00365694" w:rsidRPr="005B3849" w:rsidRDefault="00365694" w:rsidP="00365694">
            <w:pPr>
              <w:jc w:val="center"/>
              <w:rPr>
                <w:sz w:val="24"/>
              </w:rPr>
            </w:pPr>
            <w:r w:rsidRPr="005B3849">
              <w:rPr>
                <w:sz w:val="24"/>
              </w:rPr>
              <w:t>Nhất trí </w:t>
            </w:r>
          </w:p>
        </w:tc>
      </w:tr>
      <w:bookmarkEnd w:id="2"/>
      <w:tr w:rsidR="00365694" w:rsidRPr="007E433C" w:rsidTr="00BE03DE">
        <w:tc>
          <w:tcPr>
            <w:tcW w:w="14575" w:type="dxa"/>
            <w:gridSpan w:val="7"/>
            <w:shd w:val="clear" w:color="auto" w:fill="F7CAAC" w:themeFill="accent2" w:themeFillTint="66"/>
            <w:vAlign w:val="center"/>
          </w:tcPr>
          <w:p w:rsidR="00365694" w:rsidRPr="007E433C" w:rsidRDefault="00365694" w:rsidP="00365694">
            <w:pPr>
              <w:spacing w:before="120" w:after="120"/>
              <w:jc w:val="center"/>
              <w:rPr>
                <w:bCs/>
                <w:iCs/>
                <w:sz w:val="24"/>
              </w:rPr>
            </w:pPr>
            <w:r>
              <w:rPr>
                <w:b/>
                <w:sz w:val="24"/>
              </w:rPr>
              <w:lastRenderedPageBreak/>
              <w:t>Tổng số VB đề xuất xử lý: 2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lastRenderedPageBreak/>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FF2" w:rsidRDefault="00C44FF2">
      <w:r>
        <w:separator/>
      </w:r>
    </w:p>
  </w:endnote>
  <w:endnote w:type="continuationSeparator" w:id="0">
    <w:p w:rsidR="00C44FF2" w:rsidRDefault="00C4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FF2" w:rsidRDefault="00C44FF2">
      <w:r>
        <w:separator/>
      </w:r>
    </w:p>
  </w:footnote>
  <w:footnote w:type="continuationSeparator" w:id="0">
    <w:p w:rsidR="00C44FF2" w:rsidRDefault="00C4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C2CC9"/>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694"/>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44FF2"/>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10BCA"/>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F450B2C3-E246-4AF0-BAD2-E6B3756D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2429</Words>
  <Characters>13848</Characters>
  <Application>Microsoft Office Word</Application>
  <DocSecurity>0</DocSecurity>
  <Lines>115</Lines>
  <Paragraphs>32</Paragraphs>
  <ScaleCrop>false</ScaleCrop>
  <Company>Truong</Company>
  <LinksUpToDate>false</LinksUpToDate>
  <CharactersWithSpaces>16245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2026-08-05T01:58:00Z</dcterms:modified>
</cp:coreProperties>
</file>