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Vĩnh Long</w:t>
      </w:r>
    </w:p>
    <w:p w:rsidR="00BF1230" w:rsidRDefault="00BF1230" w:rsidP="00BF1230">
      <w:pPr>
        <w:jc w:val="center"/>
        <w:rPr>
          <w:bCs/>
          <w:i/>
          <w:iCs/>
          <w:sz w:val="26"/>
          <w:szCs w:val="26"/>
        </w:rPr>
      </w:pPr>
      <w:r>
        <w:rPr>
          <w:bCs/>
          <w:i/>
          <w:iCs/>
          <w:sz w:val="26"/>
          <w:szCs w:val="26"/>
        </w:rPr>
        <w:t>(Kèm theo Báo cáo số: ......... ngày ......... của UBND Tỉnh Vĩnh Long)</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FF6A4E" w:rsidRPr="007E433C" w:rsidTr="00CD66EA">
        <w:trPr>
          <w:trHeight w:val="854"/>
          <w:tblHeader/>
        </w:trPr>
        <w:tc>
          <w:tcPr>
            <w:tcW w:w="715" w:type="dxa"/>
            <w:shd w:val="clear" w:color="auto" w:fill="F7CAAC" w:themeFill="accent2" w:themeFillTint="66"/>
            <w:vAlign w:val="center"/>
          </w:tcPr>
          <w:p w:rsidR="00FF6A4E" w:rsidRPr="007E433C" w:rsidRDefault="00FF6A4E" w:rsidP="00FF6A4E">
            <w:pPr>
              <w:jc w:val="center"/>
              <w:rPr>
                <w:b/>
                <w:bCs/>
                <w:iCs/>
                <w:sz w:val="24"/>
              </w:rPr>
            </w:pPr>
            <w:r w:rsidRPr="007E433C">
              <w:rPr>
                <w:b/>
                <w:bCs/>
                <w:iCs/>
                <w:sz w:val="24"/>
              </w:rPr>
              <w:t>STT</w:t>
            </w:r>
          </w:p>
        </w:tc>
        <w:tc>
          <w:tcPr>
            <w:tcW w:w="2520" w:type="dxa"/>
            <w:shd w:val="clear" w:color="auto" w:fill="F7CAAC" w:themeFill="accent2" w:themeFillTint="66"/>
            <w:vAlign w:val="center"/>
          </w:tcPr>
          <w:p w:rsidR="00FF6A4E" w:rsidRDefault="00FF6A4E" w:rsidP="00FF6A4E">
            <w:pPr>
              <w:jc w:val="center"/>
              <w:rPr>
                <w:b/>
                <w:bCs/>
                <w:sz w:val="24"/>
              </w:rPr>
            </w:pPr>
            <w:r w:rsidRPr="0085786E">
              <w:rPr>
                <w:b/>
                <w:bCs/>
                <w:sz w:val="24"/>
                <w:lang w:val="vi-VN"/>
              </w:rPr>
              <w:t xml:space="preserve">Tên </w:t>
            </w:r>
            <w:r>
              <w:rPr>
                <w:b/>
                <w:bCs/>
                <w:sz w:val="24"/>
              </w:rPr>
              <w:t>VB</w:t>
            </w:r>
          </w:p>
          <w:p w:rsidR="00FF6A4E" w:rsidRPr="007E433C" w:rsidRDefault="00FF6A4E" w:rsidP="00FF6A4E">
            <w:pPr>
              <w:jc w:val="center"/>
              <w:rPr>
                <w:b/>
                <w:bCs/>
                <w:iCs/>
                <w:sz w:val="24"/>
              </w:rPr>
            </w:pPr>
            <w:r>
              <w:rPr>
                <w:b/>
                <w:bCs/>
                <w:sz w:val="24"/>
              </w:rPr>
              <w:t>đề xuất ban hành mới</w:t>
            </w:r>
          </w:p>
        </w:tc>
        <w:tc>
          <w:tcPr>
            <w:tcW w:w="2250" w:type="dxa"/>
            <w:shd w:val="clear" w:color="auto" w:fill="F7CAAC" w:themeFill="accent2" w:themeFillTint="66"/>
            <w:vAlign w:val="center"/>
          </w:tcPr>
          <w:p w:rsidR="00FF6A4E" w:rsidRPr="007E433C" w:rsidRDefault="00FF6A4E" w:rsidP="00FF6A4E">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FF6A4E" w:rsidRDefault="00FF6A4E" w:rsidP="00FF6A4E">
            <w:pPr>
              <w:jc w:val="center"/>
              <w:rPr>
                <w:b/>
                <w:bCs/>
                <w:sz w:val="24"/>
              </w:rPr>
            </w:pPr>
            <w:r>
              <w:rPr>
                <w:b/>
                <w:bCs/>
                <w:sz w:val="24"/>
              </w:rPr>
              <w:t>Dự kiến phạm vi</w:t>
            </w:r>
          </w:p>
          <w:p w:rsidR="00FF6A4E" w:rsidRPr="007E433C" w:rsidRDefault="00FF6A4E" w:rsidP="00FF6A4E">
            <w:pPr>
              <w:jc w:val="center"/>
              <w:rPr>
                <w:b/>
                <w:bCs/>
                <w:sz w:val="24"/>
              </w:rPr>
            </w:pPr>
            <w:r>
              <w:rPr>
                <w:b/>
                <w:bCs/>
                <w:sz w:val="24"/>
              </w:rPr>
              <w:t>điều chỉnh của VB</w:t>
            </w:r>
          </w:p>
        </w:tc>
        <w:tc>
          <w:tcPr>
            <w:tcW w:w="2610" w:type="dxa"/>
            <w:shd w:val="clear" w:color="auto" w:fill="F7CAAC" w:themeFill="accent2" w:themeFillTint="66"/>
            <w:vAlign w:val="center"/>
          </w:tcPr>
          <w:p w:rsidR="00FF6A4E" w:rsidRDefault="00FF6A4E" w:rsidP="00FF6A4E">
            <w:pPr>
              <w:jc w:val="center"/>
              <w:rPr>
                <w:b/>
                <w:bCs/>
                <w:sz w:val="24"/>
              </w:rPr>
            </w:pPr>
            <w:r>
              <w:rPr>
                <w:b/>
                <w:bCs/>
                <w:sz w:val="24"/>
              </w:rPr>
              <w:t>Lộ trình</w:t>
            </w:r>
          </w:p>
          <w:p w:rsidR="00FF6A4E" w:rsidRDefault="00FF6A4E" w:rsidP="00FF6A4E">
            <w:pPr>
              <w:jc w:val="center"/>
              <w:rPr>
                <w:b/>
                <w:bCs/>
                <w:sz w:val="24"/>
              </w:rPr>
            </w:pPr>
            <w:r>
              <w:rPr>
                <w:b/>
                <w:bCs/>
                <w:sz w:val="24"/>
              </w:rPr>
              <w:t>xây dựng,</w:t>
            </w:r>
          </w:p>
          <w:p w:rsidR="00FF6A4E" w:rsidRPr="007E433C" w:rsidRDefault="00FF6A4E" w:rsidP="00FF6A4E">
            <w:pPr>
              <w:jc w:val="center"/>
              <w:rPr>
                <w:b/>
                <w:bCs/>
                <w:sz w:val="24"/>
              </w:rPr>
            </w:pPr>
            <w:r>
              <w:rPr>
                <w:b/>
                <w:bCs/>
                <w:sz w:val="24"/>
              </w:rPr>
              <w:t>ban hành VB</w:t>
            </w:r>
          </w:p>
        </w:tc>
        <w:tc>
          <w:tcPr>
            <w:tcW w:w="1980" w:type="dxa"/>
            <w:shd w:val="clear" w:color="auto" w:fill="F7CAAC" w:themeFill="accent2" w:themeFillTint="66"/>
            <w:vAlign w:val="center"/>
          </w:tcPr>
          <w:p w:rsidR="00FF6A4E" w:rsidRDefault="00FF6A4E" w:rsidP="00FF6A4E">
            <w:pPr>
              <w:jc w:val="center"/>
              <w:rPr>
                <w:b/>
                <w:bCs/>
                <w:iCs/>
                <w:sz w:val="24"/>
              </w:rPr>
            </w:pPr>
            <w:r w:rsidRPr="007E433C">
              <w:rPr>
                <w:b/>
                <w:bCs/>
                <w:iCs/>
                <w:sz w:val="24"/>
              </w:rPr>
              <w:t xml:space="preserve">Tiêu chí </w:t>
            </w:r>
          </w:p>
          <w:p w:rsidR="00FF6A4E" w:rsidRPr="007E433C" w:rsidRDefault="00FF6A4E" w:rsidP="00FF6A4E">
            <w:pPr>
              <w:jc w:val="center"/>
              <w:rPr>
                <w:b/>
                <w:bCs/>
                <w:iCs/>
                <w:sz w:val="24"/>
              </w:rPr>
            </w:pPr>
            <w:r w:rsidRPr="007E433C">
              <w:rPr>
                <w:b/>
                <w:bCs/>
                <w:iCs/>
                <w:sz w:val="24"/>
              </w:rPr>
              <w:t>rà soát</w:t>
            </w:r>
          </w:p>
        </w:tc>
        <w:tc>
          <w:tcPr>
            <w:tcW w:w="1710" w:type="dxa"/>
            <w:shd w:val="clear" w:color="auto" w:fill="F7CAAC" w:themeFill="accent2" w:themeFillTint="66"/>
            <w:vAlign w:val="center"/>
          </w:tcPr>
          <w:p w:rsidR="00FF6A4E" w:rsidRPr="005968D6" w:rsidRDefault="00FF6A4E" w:rsidP="00FF6A4E">
            <w:pPr>
              <w:jc w:val="center"/>
              <w:rPr>
                <w:b/>
                <w:bCs/>
                <w:sz w:val="20"/>
                <w:szCs w:val="20"/>
              </w:rPr>
            </w:pPr>
            <w:r w:rsidRPr="005968D6">
              <w:rPr>
                <w:b/>
                <w:bCs/>
                <w:sz w:val="20"/>
                <w:szCs w:val="20"/>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301694">
        <w:trPr>
          <w:trHeight w:val="315"/>
        </w:trPr>
        <w:tc>
          <w:tcPr>
            <w:tcW w:w="14575" w:type="dxa"/>
            <w:gridSpan w:val="7"/>
            <w:vAlign w:val="center"/>
          </w:tcPr>
          <w:p w:rsidR="00301694" w:rsidRDefault="00582D61">
            <w:pPr>
              <w:ind w:left="1080"/>
              <w:jc w:val="center"/>
              <w:rPr>
                <w:b/>
                <w:sz w:val="26"/>
                <w:szCs w:val="26"/>
              </w:rPr>
            </w:pPr>
            <w:r>
              <w:rPr>
                <w:b/>
                <w:sz w:val="26"/>
                <w:szCs w:val="26"/>
              </w:rPr>
              <w:t>I. KHOA HỌC VÀ CÔNG NGHỆ</w:t>
            </w:r>
          </w:p>
        </w:tc>
      </w:tr>
      <w:tr w:rsidR="00FF6A4E" w:rsidTr="00E413A7">
        <w:tc>
          <w:tcPr>
            <w:tcW w:w="715" w:type="dxa"/>
            <w:vAlign w:val="center"/>
          </w:tcPr>
          <w:p w:rsidR="00FF6A4E" w:rsidRDefault="00FF6A4E" w:rsidP="00FF6A4E">
            <w:pPr>
              <w:jc w:val="center"/>
              <w:rPr>
                <w:bCs/>
                <w:iCs/>
                <w:sz w:val="26"/>
                <w:szCs w:val="26"/>
              </w:rPr>
            </w:pPr>
            <w:r>
              <w:rPr>
                <w:bCs/>
                <w:iCs/>
                <w:sz w:val="26"/>
                <w:szCs w:val="26"/>
              </w:rPr>
              <w:t>1.</w:t>
            </w:r>
          </w:p>
        </w:tc>
        <w:tc>
          <w:tcPr>
            <w:tcW w:w="2520" w:type="dxa"/>
            <w:vAlign w:val="center"/>
          </w:tcPr>
          <w:p w:rsidR="00FF6A4E" w:rsidRDefault="00FF6A4E" w:rsidP="00FF6A4E">
            <w:pPr>
              <w:jc w:val="both"/>
              <w:rPr>
                <w:bCs/>
                <w:iCs/>
                <w:sz w:val="26"/>
                <w:szCs w:val="26"/>
              </w:rPr>
            </w:pPr>
            <w:r>
              <w:rPr>
                <w:bCs/>
                <w:iCs/>
                <w:sz w:val="26"/>
                <w:szCs w:val="26"/>
              </w:rPr>
              <w:t>Quyết định quy định về hoạt động tư vấn, phản biện và giám định xã hội của Liên hiệp các Hội Khoa học và Kỹ thuật tỉnh Vĩnh Long</w:t>
            </w:r>
          </w:p>
        </w:tc>
        <w:tc>
          <w:tcPr>
            <w:tcW w:w="2250" w:type="dxa"/>
            <w:vAlign w:val="center"/>
          </w:tcPr>
          <w:p w:rsidR="00FF6A4E" w:rsidRDefault="00FF6A4E" w:rsidP="00FF6A4E">
            <w:pPr>
              <w:jc w:val="both"/>
              <w:rPr>
                <w:bCs/>
                <w:iCs/>
                <w:sz w:val="26"/>
                <w:szCs w:val="26"/>
              </w:rPr>
            </w:pPr>
            <w:r>
              <w:rPr>
                <w:bCs/>
                <w:iCs/>
                <w:sz w:val="26"/>
                <w:szCs w:val="26"/>
              </w:rPr>
              <w:t xml:space="preserve">- Quyết định số 14/2014/QĐ-TTg ngày 14 tháng 02 năm 2014 của Thủ tướng Chính phủ về hoạt động tư vấn, phản biện và giám định xã hội của Liên hiệp các Hội </w:t>
            </w:r>
            <w:r>
              <w:rPr>
                <w:bCs/>
                <w:iCs/>
                <w:sz w:val="26"/>
                <w:szCs w:val="26"/>
              </w:rPr>
              <w:lastRenderedPageBreak/>
              <w:t xml:space="preserve">Khoa học và Kỹ thuật Việt Nam; </w:t>
            </w:r>
            <w:r>
              <w:rPr>
                <w:bCs/>
                <w:iCs/>
                <w:sz w:val="26"/>
                <w:szCs w:val="26"/>
              </w:rPr>
              <w:br/>
              <w:t>- Thông tư 11/2015/TT-BTC ngày 29/1/2015 của Bộ Tài chính hướng dẫn cơ chế tài chính cho hoạt động tư vấn phản biện và giám định xã hội của Liên hiệp Hội Việt Nam.</w:t>
            </w:r>
          </w:p>
        </w:tc>
        <w:tc>
          <w:tcPr>
            <w:tcW w:w="2790" w:type="dxa"/>
            <w:vAlign w:val="center"/>
          </w:tcPr>
          <w:p w:rsidR="00FF6A4E" w:rsidRDefault="00FF6A4E" w:rsidP="00FF6A4E">
            <w:pPr>
              <w:jc w:val="both"/>
              <w:rPr>
                <w:bCs/>
                <w:iCs/>
                <w:sz w:val="26"/>
                <w:szCs w:val="26"/>
              </w:rPr>
            </w:pPr>
            <w:r>
              <w:rPr>
                <w:bCs/>
                <w:iCs/>
                <w:sz w:val="26"/>
                <w:szCs w:val="26"/>
              </w:rPr>
              <w:lastRenderedPageBreak/>
              <w:t>Quy định về hoạt động tư vấn, phản biện và giám định xã hội của Liên hiệp các Hội Khoa học và Kỹ thuật tỉnh Vĩnh Long</w:t>
            </w:r>
          </w:p>
        </w:tc>
        <w:tc>
          <w:tcPr>
            <w:tcW w:w="2610" w:type="dxa"/>
            <w:vAlign w:val="center"/>
          </w:tcPr>
          <w:p w:rsidR="00FF6A4E" w:rsidRDefault="00FF6A4E" w:rsidP="00FF6A4E">
            <w:pPr>
              <w:jc w:val="both"/>
              <w:rPr>
                <w:bCs/>
                <w:iCs/>
                <w:sz w:val="26"/>
                <w:szCs w:val="26"/>
              </w:rPr>
            </w:pPr>
            <w:r>
              <w:rPr>
                <w:bCs/>
                <w:iCs/>
                <w:sz w:val="26"/>
                <w:szCs w:val="26"/>
              </w:rPr>
              <w:t>2027</w:t>
            </w:r>
          </w:p>
        </w:tc>
        <w:tc>
          <w:tcPr>
            <w:tcW w:w="1980" w:type="dxa"/>
            <w:vAlign w:val="center"/>
          </w:tcPr>
          <w:p w:rsidR="00FF6A4E" w:rsidRDefault="00FF6A4E" w:rsidP="00FF6A4E">
            <w:pPr>
              <w:jc w:val="both"/>
              <w:rPr>
                <w:bCs/>
                <w:iCs/>
                <w:sz w:val="26"/>
                <w:szCs w:val="26"/>
              </w:rPr>
            </w:pPr>
            <w:r>
              <w:rPr>
                <w:bCs/>
                <w:iCs/>
                <w:sz w:val="26"/>
                <w:szCs w:val="26"/>
              </w:rPr>
              <w:t xml:space="preserve">Tiêu chí 1.2 - Tiêu chí về khoa học, công nghệ; Tiêu chí 1.1 - Tiêu chí về tổ chức bộ máy; Tiêu chí 1.4 - Tiêu chí về xây dựng, thi hành </w:t>
            </w:r>
            <w:r>
              <w:rPr>
                <w:bCs/>
                <w:iCs/>
                <w:sz w:val="26"/>
                <w:szCs w:val="26"/>
              </w:rPr>
              <w:lastRenderedPageBreak/>
              <w:t>pháp luật; Tiêu chí 2.1; Tiêu chí 2.2</w:t>
            </w:r>
          </w:p>
        </w:tc>
        <w:tc>
          <w:tcPr>
            <w:tcW w:w="1710" w:type="dxa"/>
          </w:tcPr>
          <w:p w:rsidR="00FF6A4E" w:rsidRPr="005968D6" w:rsidRDefault="00FF6A4E" w:rsidP="00FF6A4E">
            <w:pPr>
              <w:jc w:val="both"/>
              <w:rPr>
                <w:b/>
                <w:bCs/>
                <w:sz w:val="24"/>
              </w:rPr>
            </w:pPr>
            <w:r w:rsidRPr="005968D6">
              <w:rPr>
                <w:b/>
                <w:bCs/>
                <w:sz w:val="24"/>
              </w:rPr>
              <w:lastRenderedPageBreak/>
              <w:t xml:space="preserve">Không nhất trí: </w:t>
            </w:r>
            <w:r w:rsidRPr="005968D6">
              <w:rPr>
                <w:sz w:val="24"/>
              </w:rPr>
              <w:t xml:space="preserve">Cơ sở rà soát và nội dung phân tích chưa thể hiện đã rà soát và phát hiện nội dung vướng mắc, bất cập liên quan đến </w:t>
            </w:r>
            <w:r w:rsidRPr="005968D6">
              <w:rPr>
                <w:sz w:val="24"/>
              </w:rPr>
              <w:lastRenderedPageBreak/>
              <w:t>chủ trương, đường lối của Đảng về đột phá phát triển KH,CN,ĐMST&amp;CĐS</w:t>
            </w:r>
          </w:p>
        </w:tc>
      </w:tr>
      <w:tr w:rsidR="00FF6A4E" w:rsidTr="001F02B2">
        <w:tc>
          <w:tcPr>
            <w:tcW w:w="715" w:type="dxa"/>
            <w:vAlign w:val="center"/>
          </w:tcPr>
          <w:p w:rsidR="00FF6A4E" w:rsidRDefault="00FF6A4E" w:rsidP="00FF6A4E">
            <w:pPr>
              <w:jc w:val="center"/>
              <w:rPr>
                <w:bCs/>
                <w:iCs/>
                <w:sz w:val="26"/>
                <w:szCs w:val="26"/>
              </w:rPr>
            </w:pPr>
            <w:r>
              <w:rPr>
                <w:bCs/>
                <w:iCs/>
                <w:sz w:val="26"/>
                <w:szCs w:val="26"/>
              </w:rPr>
              <w:lastRenderedPageBreak/>
              <w:t>2.</w:t>
            </w:r>
          </w:p>
        </w:tc>
        <w:tc>
          <w:tcPr>
            <w:tcW w:w="2520" w:type="dxa"/>
            <w:vAlign w:val="center"/>
          </w:tcPr>
          <w:p w:rsidR="00FF6A4E" w:rsidRDefault="00FF6A4E" w:rsidP="00FF6A4E">
            <w:pPr>
              <w:jc w:val="both"/>
              <w:rPr>
                <w:bCs/>
                <w:iCs/>
                <w:sz w:val="26"/>
                <w:szCs w:val="26"/>
              </w:rPr>
            </w:pPr>
            <w:r>
              <w:rPr>
                <w:bCs/>
                <w:iCs/>
                <w:sz w:val="26"/>
                <w:szCs w:val="26"/>
              </w:rPr>
              <w:t>Quyết định ban hành Quy chuẩn kỹ thuật địa phương về chất lượng nước sạch sử dụng cho mục đích sinh hoạt trên địa bàn tỉnh Vĩnh Long</w:t>
            </w:r>
          </w:p>
        </w:tc>
        <w:tc>
          <w:tcPr>
            <w:tcW w:w="2250" w:type="dxa"/>
            <w:vAlign w:val="center"/>
          </w:tcPr>
          <w:p w:rsidR="00FF6A4E" w:rsidRDefault="00FF6A4E" w:rsidP="00FF6A4E">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Thông tư số 52/2024/TT-BYT ngày 31/12/2024 của Bộ trưởng Bộ Y tế về việc ban hành quy chuẩn  kỹ thuật quốc gia và quy định kiểm tra, giám sát chất lượng nước sạch sửu dụng cho mục đích sinh hoạt</w:t>
            </w:r>
          </w:p>
        </w:tc>
        <w:tc>
          <w:tcPr>
            <w:tcW w:w="2790" w:type="dxa"/>
            <w:vAlign w:val="center"/>
          </w:tcPr>
          <w:p w:rsidR="00FF6A4E" w:rsidRDefault="00FF6A4E" w:rsidP="00FF6A4E">
            <w:pPr>
              <w:jc w:val="both"/>
              <w:rPr>
                <w:bCs/>
                <w:iCs/>
                <w:sz w:val="26"/>
                <w:szCs w:val="26"/>
              </w:rPr>
            </w:pPr>
            <w:r>
              <w:rPr>
                <w:bCs/>
                <w:iCs/>
                <w:sz w:val="26"/>
                <w:szCs w:val="26"/>
              </w:rPr>
              <w:t>Ban hành Quy chuẩn kỹ thuật địa phương về chất lượng nước sạch sử dụng cho mục đích sinh hoạt trên địa bàn tỉnh Vĩnh Long</w:t>
            </w:r>
          </w:p>
        </w:tc>
        <w:tc>
          <w:tcPr>
            <w:tcW w:w="2610" w:type="dxa"/>
            <w:vAlign w:val="center"/>
          </w:tcPr>
          <w:p w:rsidR="00FF6A4E" w:rsidRDefault="00FF6A4E" w:rsidP="00FF6A4E">
            <w:pPr>
              <w:jc w:val="both"/>
              <w:rPr>
                <w:bCs/>
                <w:iCs/>
                <w:sz w:val="26"/>
                <w:szCs w:val="26"/>
              </w:rPr>
            </w:pPr>
            <w:r>
              <w:rPr>
                <w:bCs/>
                <w:iCs/>
                <w:sz w:val="26"/>
                <w:szCs w:val="26"/>
              </w:rPr>
              <w:t>2027</w:t>
            </w:r>
          </w:p>
        </w:tc>
        <w:tc>
          <w:tcPr>
            <w:tcW w:w="1980" w:type="dxa"/>
            <w:vAlign w:val="center"/>
          </w:tcPr>
          <w:p w:rsidR="00FF6A4E" w:rsidRDefault="00FF6A4E" w:rsidP="00FF6A4E">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710" w:type="dxa"/>
          </w:tcPr>
          <w:p w:rsidR="00FF6A4E" w:rsidRPr="005968D6" w:rsidRDefault="00FF6A4E" w:rsidP="00FF6A4E">
            <w:pPr>
              <w:jc w:val="both"/>
              <w:rPr>
                <w:b/>
                <w:bCs/>
                <w:sz w:val="24"/>
              </w:rPr>
            </w:pPr>
            <w:r w:rsidRPr="005968D6">
              <w:rPr>
                <w:b/>
                <w:bCs/>
                <w:sz w:val="24"/>
              </w:rPr>
              <w:t xml:space="preserve">Không nhất trí: </w:t>
            </w:r>
            <w:r w:rsidRPr="005968D6">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FF6A4E" w:rsidTr="00A841A7">
        <w:tc>
          <w:tcPr>
            <w:tcW w:w="715" w:type="dxa"/>
            <w:vAlign w:val="center"/>
          </w:tcPr>
          <w:p w:rsidR="00FF6A4E" w:rsidRDefault="00FF6A4E" w:rsidP="00FF6A4E">
            <w:pPr>
              <w:jc w:val="center"/>
              <w:rPr>
                <w:bCs/>
                <w:iCs/>
                <w:sz w:val="26"/>
                <w:szCs w:val="26"/>
              </w:rPr>
            </w:pPr>
            <w:r>
              <w:rPr>
                <w:bCs/>
                <w:iCs/>
                <w:sz w:val="26"/>
                <w:szCs w:val="26"/>
              </w:rPr>
              <w:lastRenderedPageBreak/>
              <w:t>3.</w:t>
            </w:r>
          </w:p>
        </w:tc>
        <w:tc>
          <w:tcPr>
            <w:tcW w:w="2520" w:type="dxa"/>
            <w:vAlign w:val="center"/>
          </w:tcPr>
          <w:p w:rsidR="00FF6A4E" w:rsidRDefault="00FF6A4E" w:rsidP="00FF6A4E">
            <w:pPr>
              <w:jc w:val="both"/>
              <w:rPr>
                <w:bCs/>
                <w:iCs/>
                <w:sz w:val="26"/>
                <w:szCs w:val="26"/>
              </w:rPr>
            </w:pPr>
            <w:r>
              <w:rPr>
                <w:bCs/>
                <w:iCs/>
                <w:sz w:val="26"/>
                <w:szCs w:val="26"/>
              </w:rPr>
              <w:t>Quyết định ban hành quy định về trình tự, thủ tục xây dựng, thẩm định, ban hành, quản lý, tổ chức thực hiện và đánh giá chương trình khoa học, công nghệ và đổi mới sáng tạo; quy định về trình tự, thủ tục xét tài trợ, đặt hàng, ký  hợp đồng giao nhiệm vụ, quản lý, tổ chức thực hiện, chấm dứt thực hiện, thanh lý hợp đồng giao nhiệm vụ và đánh giá đối với nhiệm vụ khoa học, công nghệ và đổi mới sáng tạo trên địa bàn tỉnh Vĩnh Long</w:t>
            </w:r>
          </w:p>
        </w:tc>
        <w:tc>
          <w:tcPr>
            <w:tcW w:w="2250" w:type="dxa"/>
            <w:vAlign w:val="center"/>
          </w:tcPr>
          <w:p w:rsidR="00FF6A4E" w:rsidRDefault="00FF6A4E" w:rsidP="00FF6A4E">
            <w:pPr>
              <w:jc w:val="both"/>
              <w:rPr>
                <w:bCs/>
                <w:iCs/>
                <w:sz w:val="26"/>
                <w:szCs w:val="26"/>
              </w:rPr>
            </w:pPr>
            <w:r>
              <w:rPr>
                <w:bCs/>
                <w:iCs/>
                <w:sz w:val="26"/>
                <w:szCs w:val="26"/>
              </w:rPr>
              <w:t>- Nghị định số 267/2025/NĐ-CP ngày 14 tháng 10 năm 2025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Pr>
                <w:bCs/>
                <w:iCs/>
                <w:sz w:val="26"/>
                <w:szCs w:val="26"/>
              </w:rPr>
              <w:br/>
              <w:t xml:space="preserve">- Thông tư số 36/2025/TT-BKHCN ngày 26 tháng 11 năm 2025 của Bộ trưởng Bộ Khoa học và Công nghệ quy định khung về trình tự, thủ tục xây dựng, thẩm định, ban hành, quản lý, tổ chức thực hiện </w:t>
            </w:r>
            <w:r>
              <w:rPr>
                <w:bCs/>
                <w:iCs/>
                <w:sz w:val="26"/>
                <w:szCs w:val="26"/>
              </w:rPr>
              <w:lastRenderedPageBreak/>
              <w:t>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p>
        </w:tc>
        <w:tc>
          <w:tcPr>
            <w:tcW w:w="2790" w:type="dxa"/>
            <w:vAlign w:val="center"/>
          </w:tcPr>
          <w:p w:rsidR="00FF6A4E" w:rsidRDefault="00FF6A4E" w:rsidP="00FF6A4E">
            <w:pPr>
              <w:jc w:val="both"/>
              <w:rPr>
                <w:bCs/>
                <w:iCs/>
                <w:sz w:val="26"/>
                <w:szCs w:val="26"/>
              </w:rPr>
            </w:pPr>
            <w:r>
              <w:rPr>
                <w:bCs/>
                <w:iCs/>
                <w:sz w:val="26"/>
                <w:szCs w:val="26"/>
              </w:rPr>
              <w:lastRenderedPageBreak/>
              <w:t>Quy định này quy định về trình tự, thủ tục xây dựng, thẩm định, ban hành, quản lý, tổ chức thực hiện và đánh giá chương trình khoa học, công nghệ và đổi mới sáng tạo; quy định về trình tự, thủ tục xét tài trợ, đặt hàng, ký hợp đồng giao nhiệm vụ, quản lý, tổ chức thực hiện, chấm dứt thực hiện, thanh lý hợp đồng giao nhiệm vụ và đánh giá đối với nhiệm vụ khoa học, công nghệ và đổi mới sáng tạo trên địa bàn tỉnh.</w:t>
            </w:r>
          </w:p>
        </w:tc>
        <w:tc>
          <w:tcPr>
            <w:tcW w:w="2610" w:type="dxa"/>
            <w:vAlign w:val="center"/>
          </w:tcPr>
          <w:p w:rsidR="00FF6A4E" w:rsidRDefault="00FF6A4E" w:rsidP="00FF6A4E">
            <w:pPr>
              <w:jc w:val="both"/>
              <w:rPr>
                <w:bCs/>
                <w:iCs/>
                <w:sz w:val="26"/>
                <w:szCs w:val="26"/>
              </w:rPr>
            </w:pPr>
            <w:r>
              <w:rPr>
                <w:bCs/>
                <w:iCs/>
                <w:sz w:val="26"/>
                <w:szCs w:val="26"/>
              </w:rPr>
              <w:t>Năm 2026</w:t>
            </w:r>
            <w:r>
              <w:rPr>
                <w:bCs/>
                <w:iCs/>
                <w:sz w:val="26"/>
                <w:szCs w:val="26"/>
              </w:rPr>
              <w:br/>
              <w:t>(Đã trình UBND tỉnh)</w:t>
            </w:r>
          </w:p>
        </w:tc>
        <w:tc>
          <w:tcPr>
            <w:tcW w:w="1980" w:type="dxa"/>
            <w:vAlign w:val="center"/>
          </w:tcPr>
          <w:p w:rsidR="00FF6A4E" w:rsidRDefault="00FF6A4E" w:rsidP="00FF6A4E">
            <w:pPr>
              <w:jc w:val="both"/>
              <w:rPr>
                <w:bCs/>
                <w:iCs/>
                <w:sz w:val="26"/>
                <w:szCs w:val="26"/>
              </w:rPr>
            </w:pPr>
            <w:r>
              <w:rPr>
                <w:bCs/>
                <w:iCs/>
                <w:sz w:val="26"/>
                <w:szCs w:val="26"/>
              </w:rPr>
              <w:t>Tiêu chí 1.4 - Tiêu chí về xây dựng, thi hành pháp luật; Tiêu chí 1.1 - Tiêu chí về tổ chức bộ máy; Tiêu chí 1.2 - Tiêu chí về khoa học, công nghệ; Tiêu chí 2.1; Tiêu chí 2.2</w:t>
            </w:r>
          </w:p>
        </w:tc>
        <w:tc>
          <w:tcPr>
            <w:tcW w:w="1710" w:type="dxa"/>
          </w:tcPr>
          <w:p w:rsidR="00FF6A4E" w:rsidRDefault="00FF6A4E" w:rsidP="00FF6A4E">
            <w:pPr>
              <w:jc w:val="both"/>
              <w:rPr>
                <w:b/>
                <w:bCs/>
                <w:sz w:val="24"/>
              </w:rPr>
            </w:pPr>
            <w:r w:rsidRPr="005968D6">
              <w:rPr>
                <w:b/>
                <w:bCs/>
                <w:sz w:val="24"/>
              </w:rPr>
              <w:t>Không nhất trí</w:t>
            </w:r>
          </w:p>
          <w:p w:rsidR="00FF6A4E" w:rsidRPr="00FF6A4E" w:rsidRDefault="00FF6A4E" w:rsidP="00FF6A4E">
            <w:pPr>
              <w:jc w:val="both"/>
              <w:rPr>
                <w:sz w:val="24"/>
              </w:rPr>
            </w:pPr>
            <w:bookmarkStart w:id="1" w:name="_GoBack"/>
            <w:r w:rsidRPr="00FF6A4E">
              <w:rPr>
                <w:sz w:val="24"/>
              </w:rPr>
              <w:t xml:space="preserve">Văn bản này đã được ban hành (Quyết định 59/2026/QĐ-UBND ngày 30/6/2026 của UBND tỉnh Vĩnh Long ban hành Quy định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 </w:t>
            </w:r>
            <w:r w:rsidRPr="00FF6A4E">
              <w:rPr>
                <w:sz w:val="24"/>
              </w:rPr>
              <w:lastRenderedPageBreak/>
              <w:t>trên địa bàn tỉnh Vĩnh Long)</w:t>
            </w:r>
            <w:bookmarkEnd w:id="1"/>
          </w:p>
        </w:tc>
      </w:tr>
      <w:tr w:rsidR="00FF6A4E" w:rsidRPr="007E433C" w:rsidTr="006A3393">
        <w:tc>
          <w:tcPr>
            <w:tcW w:w="14575" w:type="dxa"/>
            <w:gridSpan w:val="7"/>
            <w:shd w:val="clear" w:color="auto" w:fill="F7CAAC" w:themeFill="accent2" w:themeFillTint="66"/>
            <w:vAlign w:val="center"/>
          </w:tcPr>
          <w:p w:rsidR="00FF6A4E" w:rsidRPr="007E433C" w:rsidRDefault="00FF6A4E" w:rsidP="00FF6A4E">
            <w:pPr>
              <w:spacing w:before="120" w:after="120"/>
              <w:jc w:val="center"/>
              <w:rPr>
                <w:bCs/>
                <w:iCs/>
                <w:sz w:val="24"/>
              </w:rPr>
            </w:pPr>
            <w:r>
              <w:rPr>
                <w:b/>
                <w:sz w:val="24"/>
              </w:rPr>
              <w:t>Tổng số: 3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lastRenderedPageBreak/>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D61" w:rsidRDefault="00582D61">
      <w:r>
        <w:separator/>
      </w:r>
    </w:p>
  </w:endnote>
  <w:endnote w:type="continuationSeparator" w:id="0">
    <w:p w:rsidR="00582D61" w:rsidRDefault="0058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D61" w:rsidRDefault="00582D61">
      <w:r>
        <w:separator/>
      </w:r>
    </w:p>
  </w:footnote>
  <w:footnote w:type="continuationSeparator" w:id="0">
    <w:p w:rsidR="00582D61" w:rsidRDefault="0058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01694"/>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2D61"/>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00FF6A4E"/>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0B03A"/>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2AB751-956D-4A34-B28F-3E5BD319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2026-08-05T02:43:00Z</dcterms:modified>
</cp:coreProperties>
</file>