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UBND Tỉnh Lào Cai</w:t>
      </w:r>
    </w:p>
    <w:p w:rsidR="00BF1230" w:rsidRDefault="00BF1230" w:rsidP="00BF1230">
      <w:pPr>
        <w:jc w:val="center"/>
        <w:rPr>
          <w:bCs/>
          <w:i/>
          <w:iCs/>
          <w:sz w:val="26"/>
          <w:szCs w:val="26"/>
        </w:rPr>
      </w:pPr>
      <w:r>
        <w:rPr>
          <w:bCs/>
          <w:i/>
          <w:iCs/>
          <w:sz w:val="26"/>
          <w:szCs w:val="26"/>
        </w:rPr>
        <w:t>(Kèm theo Báo cáo số: ......... ngày ......... của UBND Tỉnh Lào Cai)</w:t>
      </w:r>
    </w:p>
    <w:bookmarkEnd w:id="0"/>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067F8C" w:rsidRPr="007E433C" w:rsidTr="00CD66EA">
        <w:trPr>
          <w:trHeight w:val="854"/>
          <w:tblHeader/>
        </w:trPr>
        <w:tc>
          <w:tcPr>
            <w:tcW w:w="715" w:type="dxa"/>
            <w:shd w:val="clear" w:color="auto" w:fill="F7CAAC" w:themeFill="accent2" w:themeFillTint="66"/>
            <w:vAlign w:val="center"/>
          </w:tcPr>
          <w:p w:rsidR="00067F8C" w:rsidRPr="007E433C" w:rsidRDefault="00067F8C" w:rsidP="00067F8C">
            <w:pPr>
              <w:jc w:val="center"/>
              <w:rPr>
                <w:b/>
                <w:bCs/>
                <w:iCs/>
                <w:sz w:val="24"/>
              </w:rPr>
            </w:pPr>
            <w:r w:rsidRPr="007E433C">
              <w:rPr>
                <w:b/>
                <w:bCs/>
                <w:iCs/>
                <w:sz w:val="24"/>
              </w:rPr>
              <w:t>STT</w:t>
            </w:r>
          </w:p>
        </w:tc>
        <w:tc>
          <w:tcPr>
            <w:tcW w:w="2520" w:type="dxa"/>
            <w:shd w:val="clear" w:color="auto" w:fill="F7CAAC" w:themeFill="accent2" w:themeFillTint="66"/>
            <w:vAlign w:val="center"/>
          </w:tcPr>
          <w:p w:rsidR="00067F8C" w:rsidRDefault="00067F8C" w:rsidP="00067F8C">
            <w:pPr>
              <w:jc w:val="center"/>
              <w:rPr>
                <w:b/>
                <w:bCs/>
                <w:sz w:val="24"/>
              </w:rPr>
            </w:pPr>
            <w:r w:rsidRPr="0085786E">
              <w:rPr>
                <w:b/>
                <w:bCs/>
                <w:sz w:val="24"/>
                <w:lang w:val="vi-VN"/>
              </w:rPr>
              <w:t xml:space="preserve">Tên </w:t>
            </w:r>
            <w:r>
              <w:rPr>
                <w:b/>
                <w:bCs/>
                <w:sz w:val="24"/>
              </w:rPr>
              <w:t>VB</w:t>
            </w:r>
          </w:p>
          <w:p w:rsidR="00067F8C" w:rsidRPr="007E433C" w:rsidRDefault="00067F8C" w:rsidP="00067F8C">
            <w:pPr>
              <w:jc w:val="center"/>
              <w:rPr>
                <w:b/>
                <w:bCs/>
                <w:iCs/>
                <w:sz w:val="24"/>
              </w:rPr>
            </w:pPr>
            <w:r>
              <w:rPr>
                <w:b/>
                <w:bCs/>
                <w:sz w:val="24"/>
              </w:rPr>
              <w:t>đề xuất ban hành mới</w:t>
            </w:r>
          </w:p>
        </w:tc>
        <w:tc>
          <w:tcPr>
            <w:tcW w:w="2250" w:type="dxa"/>
            <w:shd w:val="clear" w:color="auto" w:fill="F7CAAC" w:themeFill="accent2" w:themeFillTint="66"/>
            <w:vAlign w:val="center"/>
          </w:tcPr>
          <w:p w:rsidR="00067F8C" w:rsidRPr="007E433C" w:rsidRDefault="00067F8C" w:rsidP="00067F8C">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067F8C" w:rsidRDefault="00067F8C" w:rsidP="00067F8C">
            <w:pPr>
              <w:jc w:val="center"/>
              <w:rPr>
                <w:b/>
                <w:bCs/>
                <w:sz w:val="24"/>
              </w:rPr>
            </w:pPr>
            <w:r>
              <w:rPr>
                <w:b/>
                <w:bCs/>
                <w:sz w:val="24"/>
              </w:rPr>
              <w:t>Dự kiến phạm vi</w:t>
            </w:r>
          </w:p>
          <w:p w:rsidR="00067F8C" w:rsidRPr="007E433C" w:rsidRDefault="00067F8C" w:rsidP="00067F8C">
            <w:pPr>
              <w:jc w:val="center"/>
              <w:rPr>
                <w:b/>
                <w:bCs/>
                <w:sz w:val="24"/>
              </w:rPr>
            </w:pPr>
            <w:r>
              <w:rPr>
                <w:b/>
                <w:bCs/>
                <w:sz w:val="24"/>
              </w:rPr>
              <w:t>điều chỉnh của VB</w:t>
            </w:r>
          </w:p>
        </w:tc>
        <w:tc>
          <w:tcPr>
            <w:tcW w:w="2610" w:type="dxa"/>
            <w:shd w:val="clear" w:color="auto" w:fill="F7CAAC" w:themeFill="accent2" w:themeFillTint="66"/>
            <w:vAlign w:val="center"/>
          </w:tcPr>
          <w:p w:rsidR="00067F8C" w:rsidRDefault="00067F8C" w:rsidP="00067F8C">
            <w:pPr>
              <w:jc w:val="center"/>
              <w:rPr>
                <w:b/>
                <w:bCs/>
                <w:sz w:val="24"/>
              </w:rPr>
            </w:pPr>
            <w:r>
              <w:rPr>
                <w:b/>
                <w:bCs/>
                <w:sz w:val="24"/>
              </w:rPr>
              <w:t>Lộ trình</w:t>
            </w:r>
          </w:p>
          <w:p w:rsidR="00067F8C" w:rsidRDefault="00067F8C" w:rsidP="00067F8C">
            <w:pPr>
              <w:jc w:val="center"/>
              <w:rPr>
                <w:b/>
                <w:bCs/>
                <w:sz w:val="24"/>
              </w:rPr>
            </w:pPr>
            <w:r>
              <w:rPr>
                <w:b/>
                <w:bCs/>
                <w:sz w:val="24"/>
              </w:rPr>
              <w:t>xây dựng,</w:t>
            </w:r>
          </w:p>
          <w:p w:rsidR="00067F8C" w:rsidRPr="007E433C" w:rsidRDefault="00067F8C" w:rsidP="00067F8C">
            <w:pPr>
              <w:jc w:val="center"/>
              <w:rPr>
                <w:b/>
                <w:bCs/>
                <w:sz w:val="24"/>
              </w:rPr>
            </w:pPr>
            <w:r>
              <w:rPr>
                <w:b/>
                <w:bCs/>
                <w:sz w:val="24"/>
              </w:rPr>
              <w:t>ban hành VB</w:t>
            </w:r>
          </w:p>
        </w:tc>
        <w:tc>
          <w:tcPr>
            <w:tcW w:w="1980" w:type="dxa"/>
            <w:shd w:val="clear" w:color="auto" w:fill="F7CAAC" w:themeFill="accent2" w:themeFillTint="66"/>
            <w:vAlign w:val="center"/>
          </w:tcPr>
          <w:p w:rsidR="00067F8C" w:rsidRDefault="00067F8C" w:rsidP="00067F8C">
            <w:pPr>
              <w:jc w:val="center"/>
              <w:rPr>
                <w:b/>
                <w:bCs/>
                <w:iCs/>
                <w:sz w:val="24"/>
              </w:rPr>
            </w:pPr>
            <w:r w:rsidRPr="007E433C">
              <w:rPr>
                <w:b/>
                <w:bCs/>
                <w:iCs/>
                <w:sz w:val="24"/>
              </w:rPr>
              <w:t xml:space="preserve">Tiêu chí </w:t>
            </w:r>
          </w:p>
          <w:p w:rsidR="00067F8C" w:rsidRPr="007E433C" w:rsidRDefault="00067F8C" w:rsidP="00067F8C">
            <w:pPr>
              <w:jc w:val="center"/>
              <w:rPr>
                <w:b/>
                <w:bCs/>
                <w:iCs/>
                <w:sz w:val="24"/>
              </w:rPr>
            </w:pPr>
            <w:r w:rsidRPr="007E433C">
              <w:rPr>
                <w:b/>
                <w:bCs/>
                <w:iCs/>
                <w:sz w:val="24"/>
              </w:rPr>
              <w:t>rà soát</w:t>
            </w:r>
          </w:p>
        </w:tc>
        <w:tc>
          <w:tcPr>
            <w:tcW w:w="1710" w:type="dxa"/>
            <w:shd w:val="clear" w:color="auto" w:fill="F7CAAC" w:themeFill="accent2" w:themeFillTint="66"/>
            <w:vAlign w:val="center"/>
          </w:tcPr>
          <w:p w:rsidR="00067F8C" w:rsidRPr="009E38A2" w:rsidRDefault="00067F8C" w:rsidP="00067F8C">
            <w:pPr>
              <w:jc w:val="center"/>
              <w:rPr>
                <w:b/>
                <w:bCs/>
                <w:sz w:val="20"/>
                <w:szCs w:val="20"/>
              </w:rPr>
            </w:pPr>
            <w:r w:rsidRPr="009E38A2">
              <w:rPr>
                <w:b/>
                <w:bCs/>
                <w:sz w:val="20"/>
                <w:szCs w:val="20"/>
              </w:rPr>
              <w:t>Ý kiến của Bộ KH&amp;CN</w:t>
            </w:r>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35410F">
        <w:trPr>
          <w:trHeight w:val="315"/>
        </w:trPr>
        <w:tc>
          <w:tcPr>
            <w:tcW w:w="14575" w:type="dxa"/>
            <w:gridSpan w:val="7"/>
            <w:vAlign w:val="center"/>
          </w:tcPr>
          <w:p w:rsidR="0035410F" w:rsidRDefault="004D5F36">
            <w:pPr>
              <w:ind w:left="1080"/>
              <w:jc w:val="center"/>
              <w:rPr>
                <w:b/>
                <w:sz w:val="26"/>
                <w:szCs w:val="26"/>
              </w:rPr>
            </w:pPr>
            <w:r>
              <w:rPr>
                <w:b/>
                <w:sz w:val="26"/>
                <w:szCs w:val="26"/>
              </w:rPr>
              <w:t>I. KHOA HỌC VÀ CÔNG NGHỆ</w:t>
            </w:r>
          </w:p>
        </w:tc>
      </w:tr>
      <w:tr w:rsidR="0035410F">
        <w:tc>
          <w:tcPr>
            <w:tcW w:w="715" w:type="dxa"/>
            <w:vAlign w:val="center"/>
          </w:tcPr>
          <w:p w:rsidR="0035410F" w:rsidRDefault="004D5F36">
            <w:pPr>
              <w:jc w:val="center"/>
              <w:rPr>
                <w:bCs/>
                <w:iCs/>
                <w:sz w:val="26"/>
                <w:szCs w:val="26"/>
              </w:rPr>
            </w:pPr>
            <w:bookmarkStart w:id="1" w:name="_GoBack" w:colFirst="6" w:colLast="6"/>
            <w:r>
              <w:rPr>
                <w:bCs/>
                <w:iCs/>
                <w:sz w:val="26"/>
                <w:szCs w:val="26"/>
              </w:rPr>
              <w:t>1.</w:t>
            </w:r>
          </w:p>
        </w:tc>
        <w:tc>
          <w:tcPr>
            <w:tcW w:w="2520" w:type="dxa"/>
            <w:vAlign w:val="center"/>
          </w:tcPr>
          <w:p w:rsidR="0035410F" w:rsidRDefault="004D5F36">
            <w:pPr>
              <w:jc w:val="both"/>
              <w:rPr>
                <w:bCs/>
                <w:iCs/>
                <w:sz w:val="26"/>
                <w:szCs w:val="26"/>
              </w:rPr>
            </w:pPr>
            <w:r>
              <w:rPr>
                <w:bCs/>
                <w:iCs/>
                <w:sz w:val="26"/>
                <w:szCs w:val="26"/>
              </w:rPr>
              <w:t>Ban hành quy định quản lý chương trình, nhiệm vụ khoa học công nghệ và đổi mới sáng tạo sử dụng ngân sách nhà nước của tỉnh Lào Cai</w:t>
            </w:r>
          </w:p>
        </w:tc>
        <w:tc>
          <w:tcPr>
            <w:tcW w:w="2250" w:type="dxa"/>
            <w:vAlign w:val="center"/>
          </w:tcPr>
          <w:p w:rsidR="0035410F" w:rsidRDefault="004D5F36">
            <w:pPr>
              <w:jc w:val="both"/>
              <w:rPr>
                <w:bCs/>
                <w:iCs/>
                <w:sz w:val="26"/>
                <w:szCs w:val="26"/>
              </w:rPr>
            </w:pPr>
            <w:r>
              <w:rPr>
                <w:bCs/>
                <w:iCs/>
                <w:sz w:val="26"/>
                <w:szCs w:val="26"/>
              </w:rPr>
              <w:t xml:space="preserve">- Nghị quyết số </w:t>
            </w:r>
            <w:r>
              <w:rPr>
                <w:bCs/>
                <w:iCs/>
                <w:sz w:val="26"/>
                <w:szCs w:val="26"/>
              </w:rPr>
              <w:t xml:space="preserve">57-NQ/TW ngày 24 tháng 12 năm 2024 của Bộ Chính trị về đột phá phát triển khoa học, công nghệ và đổi mới sáng tạo và chuyển đổi số quốc gia, </w:t>
            </w:r>
            <w:r>
              <w:rPr>
                <w:bCs/>
                <w:iCs/>
                <w:sz w:val="26"/>
                <w:szCs w:val="26"/>
              </w:rPr>
              <w:lastRenderedPageBreak/>
              <w:t>nhấn mạnh: “Cải cách mạnh mẽ quản lý nhiệm vụ khoa học, công nghệ và đổi mới sáng tạo, đơn giản hóa thủ tục hành ch</w:t>
            </w:r>
            <w:r>
              <w:rPr>
                <w:bCs/>
                <w:iCs/>
                <w:sz w:val="26"/>
                <w:szCs w:val="26"/>
              </w:rPr>
              <w:t>ính, giao quyền tự chủ, chấp nhận rủi ro trong nghiên cứu”;</w:t>
            </w:r>
            <w:r>
              <w:rPr>
                <w:bCs/>
                <w:iCs/>
                <w:sz w:val="26"/>
                <w:szCs w:val="26"/>
              </w:rPr>
              <w:br/>
              <w:t xml:space="preserve"> - Luật Khoa học, Công nghệ và đổi mới sáng tạo số 93/2025/QH15;</w:t>
            </w:r>
            <w:r>
              <w:rPr>
                <w:bCs/>
                <w:iCs/>
                <w:sz w:val="26"/>
                <w:szCs w:val="26"/>
              </w:rPr>
              <w:br/>
              <w:t xml:space="preserve">- Nghị định số 265/2025/NĐ-CP của Chính phủ về quy định chi tiết và hướng dẫn thi hành một số điều của Luật Khoa học, Công nghệ và </w:t>
            </w:r>
            <w:r>
              <w:rPr>
                <w:bCs/>
                <w:iCs/>
                <w:sz w:val="26"/>
                <w:szCs w:val="26"/>
              </w:rPr>
              <w:t>Đổi mới sáng tạo về tài chính và đầu tư trong khoa học, công nghệ và đổi mới sáng tạo;;</w:t>
            </w:r>
            <w:r>
              <w:rPr>
                <w:bCs/>
                <w:iCs/>
                <w:sz w:val="26"/>
                <w:szCs w:val="26"/>
              </w:rPr>
              <w:br/>
              <w:t xml:space="preserve">- Nghị định số 267/2025/NĐ-CP của Chính phủ về quy định chi tiết và hướng dẫn một số </w:t>
            </w:r>
            <w:r>
              <w:rPr>
                <w:bCs/>
                <w:iCs/>
                <w:sz w:val="26"/>
                <w:szCs w:val="26"/>
              </w:rPr>
              <w:lastRenderedPageBreak/>
              <w:t>điều của Luật Khoa học, Công nghệ và Đổi mới sáng tạo về chương trình, nhiệm vụ kho</w:t>
            </w:r>
            <w:r>
              <w:rPr>
                <w:bCs/>
                <w:iCs/>
                <w:sz w:val="26"/>
                <w:szCs w:val="26"/>
              </w:rPr>
              <w:t>a học, công nghệ và đổi mới sáng tạo và một số quy định về thúc đẩy hoạt động nghiên cứu khoa học, phát triển công nghệ và đổi mới sáng tạo;</w:t>
            </w:r>
            <w:r>
              <w:rPr>
                <w:bCs/>
                <w:iCs/>
                <w:sz w:val="26"/>
                <w:szCs w:val="26"/>
              </w:rPr>
              <w:br/>
              <w:t>- Nghị định số 268/2025/NĐ-CP của Chính phủ Quy định chi tiết và hướng dẫn một số điều của Luật Khoa học, Công nghệ</w:t>
            </w:r>
            <w:r>
              <w:rPr>
                <w:bCs/>
                <w:iCs/>
                <w:sz w:val="26"/>
                <w:szCs w:val="26"/>
              </w:rPr>
              <w:t xml:space="preserve"> và Đổi mới sáng tạo về đổi mới sáng tạo; khuyến khích hoạt động khoa học, công nghệ và đổi mới sáng tạo trong doanh nghiệp; công nhận trung tâm đổi mới sáng tạo, hỗ trợ khởi nghiệp sáng tạo; công nhận cá </w:t>
            </w:r>
            <w:r>
              <w:rPr>
                <w:bCs/>
                <w:iCs/>
                <w:sz w:val="26"/>
                <w:szCs w:val="26"/>
              </w:rPr>
              <w:lastRenderedPageBreak/>
              <w:t>nhân, doanh nghiệp khởi nghiệp sáng tạo; hạ tầng mạ</w:t>
            </w:r>
            <w:r>
              <w:rPr>
                <w:bCs/>
                <w:iCs/>
                <w:sz w:val="26"/>
                <w:szCs w:val="26"/>
              </w:rPr>
              <w:t>ng lưới và hệ sinh thái khởi nghiệp sáng tạo;</w:t>
            </w:r>
            <w:r>
              <w:rPr>
                <w:bCs/>
                <w:iCs/>
                <w:sz w:val="26"/>
                <w:szCs w:val="26"/>
              </w:rPr>
              <w:br/>
              <w:t>- Thông tư số 36/2025/TT-BKHCN của Bộ trưởng Bộ Khoa học và Công nghệ quy định khung về trình tự, thủ tục xây dựng, thẩm định, ban hành, quản lý, tổ chức thực hiện chương trình khoa học, công nghệ và đổi mới sá</w:t>
            </w:r>
            <w:r>
              <w:rPr>
                <w:bCs/>
                <w:iCs/>
                <w:sz w:val="26"/>
                <w:szCs w:val="26"/>
              </w:rPr>
              <w:t>ng tạo và quy định về trình tự, thủ tục xét tài trợ, đặt hàng, ký hợp đồng, tổ chức thực hiện, chấm dứt thực hiện, thanh lý hợp đồng giao nhiệm vụ và đánh giá đối với nhiệm vụ khoa học, công nghệ và đổi mới sáng tạo;</w:t>
            </w:r>
            <w:r>
              <w:rPr>
                <w:bCs/>
                <w:iCs/>
                <w:sz w:val="26"/>
                <w:szCs w:val="26"/>
              </w:rPr>
              <w:br/>
              <w:t xml:space="preserve">- Thông tư số </w:t>
            </w:r>
            <w:r>
              <w:rPr>
                <w:bCs/>
                <w:iCs/>
                <w:sz w:val="26"/>
                <w:szCs w:val="26"/>
              </w:rPr>
              <w:lastRenderedPageBreak/>
              <w:t>22/2025/TT-BKHCN của Bộ t</w:t>
            </w:r>
            <w:r>
              <w:rPr>
                <w:bCs/>
                <w:iCs/>
                <w:sz w:val="26"/>
                <w:szCs w:val="26"/>
              </w:rPr>
              <w:t>rưởng Bộ Khoa học và Công nghệ quy định về thu thập, cập nhật, kết nối, chia sẻ, quản lý, khai thác, sử dụng dữ liệu trên hệ thống thông tin quốc gia về khoa học, công nghệ và đổi mới sáng tạo;</w:t>
            </w:r>
            <w:r>
              <w:rPr>
                <w:bCs/>
                <w:iCs/>
                <w:sz w:val="26"/>
                <w:szCs w:val="26"/>
              </w:rPr>
              <w:br/>
              <w:t>- Thông tư số 38/2025/TT-BKHCN của Bộ trưởng Bộ Khoa học và Cô</w:t>
            </w:r>
            <w:r>
              <w:rPr>
                <w:bCs/>
                <w:iCs/>
                <w:sz w:val="26"/>
                <w:szCs w:val="26"/>
              </w:rPr>
              <w:t>ng nghệ quy định về lập dự toán, quản lý sử dụng và quyết toán kinh phí ngân sách nhà nước đối với một số nội dung chi quản lý hoạt động khoa học, công nghệ và đổi mới sáng tạo;</w:t>
            </w:r>
            <w:r>
              <w:rPr>
                <w:bCs/>
                <w:iCs/>
                <w:sz w:val="26"/>
                <w:szCs w:val="26"/>
              </w:rPr>
              <w:br/>
              <w:t xml:space="preserve">- Thông tư số 39/2025/TT-BKHCN của Bộ trưởng Bộ Khoa </w:t>
            </w:r>
            <w:r>
              <w:rPr>
                <w:bCs/>
                <w:iCs/>
                <w:sz w:val="26"/>
                <w:szCs w:val="26"/>
              </w:rPr>
              <w:lastRenderedPageBreak/>
              <w:t>học và Công nghệ quy định</w:t>
            </w:r>
            <w:r>
              <w:rPr>
                <w:bCs/>
                <w:iCs/>
                <w:sz w:val="26"/>
                <w:szCs w:val="26"/>
              </w:rPr>
              <w:t xml:space="preserve"> chi tiết và hướng dẫn về lập dự toán, quản lý sử dụng và quyết toán một số nội dung chi ngân sách Nhà nước thực hiện nhiệm vụ khoa học, công nghệ và đổi mới sáng tạo;</w:t>
            </w:r>
          </w:p>
        </w:tc>
        <w:tc>
          <w:tcPr>
            <w:tcW w:w="2790" w:type="dxa"/>
            <w:vAlign w:val="center"/>
          </w:tcPr>
          <w:p w:rsidR="0035410F" w:rsidRDefault="004D5F36">
            <w:pPr>
              <w:jc w:val="both"/>
              <w:rPr>
                <w:bCs/>
                <w:iCs/>
                <w:sz w:val="26"/>
                <w:szCs w:val="26"/>
              </w:rPr>
            </w:pPr>
            <w:r>
              <w:rPr>
                <w:bCs/>
                <w:iCs/>
                <w:sz w:val="26"/>
                <w:szCs w:val="26"/>
              </w:rPr>
              <w:lastRenderedPageBreak/>
              <w:t>1. Phân cấp các nhiệm vụ của cơ quan quản lý nhiệm vụ khoa học, công nghệ và đổi mới sán</w:t>
            </w:r>
            <w:r>
              <w:rPr>
                <w:bCs/>
                <w:iCs/>
                <w:sz w:val="26"/>
                <w:szCs w:val="26"/>
              </w:rPr>
              <w:t xml:space="preserve">g tạo thuộc thẩm quyền của Ủy ban nhân dân tỉnh quy định tại Nghị định số 267/2025/NĐ-CP của Chính phủ quy định chi </w:t>
            </w:r>
            <w:r>
              <w:rPr>
                <w:bCs/>
                <w:iCs/>
                <w:sz w:val="26"/>
                <w:szCs w:val="26"/>
              </w:rPr>
              <w:lastRenderedPageBreak/>
              <w:t>tiết và hướng dẫn một số điều của Luật Khoa học, công nghệ và đổi mới sáng tạo về chương trình, nhiệm vụ khoa học, công nghệ và đổi mới sáng</w:t>
            </w:r>
            <w:r>
              <w:rPr>
                <w:bCs/>
                <w:iCs/>
                <w:sz w:val="26"/>
                <w:szCs w:val="26"/>
              </w:rPr>
              <w:t xml:space="preserve"> tạo và một số quy định về thúc đẩy hoạt động nghiên cứu khoa học, phát triển công nghệ và đổi mới sáng tạo và Nghị định số 268/2025/NĐ-CP của Chính phủ quy định chi tiết và hướng dẫn một số điều của Luật Khoa học, công nghệ và đổi mới sáng tạo về đổi mới </w:t>
            </w:r>
            <w:r>
              <w:rPr>
                <w:bCs/>
                <w:iCs/>
                <w:sz w:val="26"/>
                <w:szCs w:val="26"/>
              </w:rPr>
              <w:t>sáng tạo; khuyến khích hoạt động khoa học, công nghệ và đổi mới sáng tạo trong doanh nghiệp; công nhận trung tâm đổi mới sáng tạo, hỗ trợ khởi nghiệp sáng tạo; công nhận cá nhân, doanh nghiệp khởi nghiệp sáng tạo; hạ tầng, mạng lưới và hệ sinh thái khởi ng</w:t>
            </w:r>
            <w:r>
              <w:rPr>
                <w:bCs/>
                <w:iCs/>
                <w:sz w:val="26"/>
                <w:szCs w:val="26"/>
              </w:rPr>
              <w:t>hiệp sáng tạo.</w:t>
            </w:r>
            <w:r>
              <w:rPr>
                <w:bCs/>
                <w:iCs/>
                <w:sz w:val="26"/>
                <w:szCs w:val="26"/>
              </w:rPr>
              <w:br/>
              <w:t xml:space="preserve">2. Quy định chi tiết việc xây dựng, tổ chức triển </w:t>
            </w:r>
            <w:r>
              <w:rPr>
                <w:bCs/>
                <w:iCs/>
                <w:sz w:val="26"/>
                <w:szCs w:val="26"/>
              </w:rPr>
              <w:lastRenderedPageBreak/>
              <w:t>khai, đánh giá và báo cáo kết quả thực hiện các chương trình khoa học, công nghệ và đổi mới sáng tạo tỉnh theo quy định tại khoản 3 Điều 23 Nghị định số 267/2025/NĐ-CP.</w:t>
            </w:r>
            <w:r>
              <w:rPr>
                <w:bCs/>
                <w:iCs/>
                <w:sz w:val="26"/>
                <w:szCs w:val="26"/>
              </w:rPr>
              <w:br/>
              <w:t>3. Quy định chi tiết m</w:t>
            </w:r>
            <w:r>
              <w:rPr>
                <w:bCs/>
                <w:iCs/>
                <w:sz w:val="26"/>
                <w:szCs w:val="26"/>
              </w:rPr>
              <w:t xml:space="preserve">ột số nội dung cần thiết về quản lý các nhiệm vụ khoa học, công nghệ và đổi mới sáng tạo sử dụng ngân sách nhà nước tỉnh Lào Cai theo quy định tại khoản 7 Điều 10, khoản 11 Điều 11, khoản 8 Điều 12, khoản 6 Điều 15, khoản 8 Điều 16, khoản 5 Điều 17, khoản </w:t>
            </w:r>
            <w:r>
              <w:rPr>
                <w:bCs/>
                <w:iCs/>
                <w:sz w:val="26"/>
                <w:szCs w:val="26"/>
              </w:rPr>
              <w:t xml:space="preserve">7 Điều 18, khoản 4 Điều 19 Nghị định số 267/2025/NĐ-CP; Thông tư số 36/2025/TT-BKHCN của Bộ trưởng Bộ Khoa học và Công nghệ quy định khung về trình tự, thủ tục xây dựng, thẩm định, ban hành, quản lý, tổ chức thực hiện chương trình khoa học, </w:t>
            </w:r>
            <w:r>
              <w:rPr>
                <w:bCs/>
                <w:iCs/>
                <w:sz w:val="26"/>
                <w:szCs w:val="26"/>
              </w:rPr>
              <w:lastRenderedPageBreak/>
              <w:t>công nghệ và đổ</w:t>
            </w:r>
            <w:r>
              <w:rPr>
                <w:bCs/>
                <w:iCs/>
                <w:sz w:val="26"/>
                <w:szCs w:val="26"/>
              </w:rPr>
              <w:t>i mới sáng tạo và quy định về trình tự, thủ tục xét tài trợ, đặt hàng, ký hợp đồng, tổ chức thực hiện, chấm dứt thực hiện, thanh lý hợp đồng giao nhiệm vụ và đánh giá đối với nhiệm vụ khoa học, công nghệ và đổi mới sáng tạo đối với các nhiệm vụ khoa học, c</w:t>
            </w:r>
            <w:r>
              <w:rPr>
                <w:bCs/>
                <w:iCs/>
                <w:sz w:val="26"/>
                <w:szCs w:val="26"/>
              </w:rPr>
              <w:t>ông nghệ và đổi mới sáng tạo quy định tại khoản 1 Điều 4 Nghị định số 267/2025/NĐ-CP (sau đây gọi tắt là nhiệm vụ khoa học và công nghệ).</w:t>
            </w:r>
            <w:r>
              <w:rPr>
                <w:bCs/>
                <w:iCs/>
                <w:sz w:val="26"/>
                <w:szCs w:val="26"/>
              </w:rPr>
              <w:br/>
              <w:t>4. Quy định cụ thể một số nội dung về thẩm định và kiểm tra các nhiệm vụ đổi mới sáng tạo sử dụng ngân sách nhà nước t</w:t>
            </w:r>
            <w:r>
              <w:rPr>
                <w:bCs/>
                <w:iCs/>
                <w:sz w:val="26"/>
                <w:szCs w:val="26"/>
              </w:rPr>
              <w:t>ỉnh Lào Cai theo quy định tại khoản 6 Điều 66 Nghị định số 268/2025/NĐ-CP.</w:t>
            </w:r>
          </w:p>
        </w:tc>
        <w:tc>
          <w:tcPr>
            <w:tcW w:w="2610" w:type="dxa"/>
            <w:vAlign w:val="center"/>
          </w:tcPr>
          <w:p w:rsidR="0035410F" w:rsidRDefault="004D5F36">
            <w:pPr>
              <w:jc w:val="both"/>
              <w:rPr>
                <w:bCs/>
                <w:iCs/>
                <w:sz w:val="26"/>
                <w:szCs w:val="26"/>
              </w:rPr>
            </w:pPr>
            <w:r>
              <w:rPr>
                <w:bCs/>
                <w:iCs/>
                <w:sz w:val="26"/>
                <w:szCs w:val="26"/>
              </w:rPr>
              <w:lastRenderedPageBreak/>
              <w:t>Quý III/2026</w:t>
            </w:r>
          </w:p>
        </w:tc>
        <w:tc>
          <w:tcPr>
            <w:tcW w:w="1980" w:type="dxa"/>
            <w:vAlign w:val="center"/>
          </w:tcPr>
          <w:p w:rsidR="0035410F" w:rsidRDefault="004D5F36">
            <w:pPr>
              <w:jc w:val="both"/>
              <w:rPr>
                <w:bCs/>
                <w:iCs/>
                <w:sz w:val="26"/>
                <w:szCs w:val="26"/>
              </w:rPr>
            </w:pPr>
            <w:r>
              <w:rPr>
                <w:bCs/>
                <w:iCs/>
                <w:sz w:val="26"/>
                <w:szCs w:val="26"/>
              </w:rPr>
              <w:t>Tiêu chí 1.2 - Tiêu chí về khoa học, công nghệ</w:t>
            </w:r>
          </w:p>
        </w:tc>
        <w:tc>
          <w:tcPr>
            <w:tcW w:w="1710" w:type="dxa"/>
            <w:vAlign w:val="center"/>
          </w:tcPr>
          <w:p w:rsidR="0035410F" w:rsidRPr="00067F8C" w:rsidRDefault="00067F8C">
            <w:pPr>
              <w:jc w:val="both"/>
              <w:rPr>
                <w:bCs/>
                <w:iCs/>
                <w:sz w:val="26"/>
                <w:szCs w:val="26"/>
              </w:rPr>
            </w:pPr>
            <w:r w:rsidRPr="00067F8C">
              <w:rPr>
                <w:bCs/>
                <w:iCs/>
                <w:sz w:val="26"/>
                <w:szCs w:val="26"/>
              </w:rPr>
              <w:t>C</w:t>
            </w:r>
            <w:r w:rsidRPr="00067F8C">
              <w:rPr>
                <w:iCs/>
                <w:sz w:val="24"/>
              </w:rPr>
              <w:t xml:space="preserve">ần làm rõ, hoàn thiện thêm cơ sở thực tiễn, cơ sở pháp lý, chủ trương, đường lối của Đảng về về đột phá phát triển KH, CN, </w:t>
            </w:r>
            <w:r w:rsidRPr="00067F8C">
              <w:rPr>
                <w:iCs/>
                <w:sz w:val="24"/>
              </w:rPr>
              <w:lastRenderedPageBreak/>
              <w:t>ĐMST &amp; CĐS có liên quan làm cơ sở để ban hành văn bản; hình thức văn bản được ban hành</w:t>
            </w:r>
          </w:p>
        </w:tc>
      </w:tr>
      <w:bookmarkEnd w:id="1"/>
      <w:tr w:rsidR="004F3711" w:rsidRPr="007E433C" w:rsidTr="006A3393">
        <w:tc>
          <w:tcPr>
            <w:tcW w:w="14575" w:type="dxa"/>
            <w:gridSpan w:val="7"/>
            <w:shd w:val="clear" w:color="auto" w:fill="F7CAAC" w:themeFill="accent2" w:themeFillTint="66"/>
            <w:vAlign w:val="center"/>
          </w:tcPr>
          <w:p w:rsidR="004F3711" w:rsidRPr="007E433C" w:rsidRDefault="004F3711" w:rsidP="006A3393">
            <w:pPr>
              <w:spacing w:before="120" w:after="120"/>
              <w:jc w:val="center"/>
              <w:rPr>
                <w:bCs/>
                <w:iCs/>
                <w:sz w:val="24"/>
              </w:rPr>
            </w:pPr>
            <w:r>
              <w:rPr>
                <w:b/>
                <w:sz w:val="24"/>
              </w:rPr>
              <w:lastRenderedPageBreak/>
              <w:t>Tổng số: 1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lastRenderedPageBreak/>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5F36" w:rsidRDefault="004D5F36">
      <w:r>
        <w:separator/>
      </w:r>
    </w:p>
  </w:endnote>
  <w:endnote w:type="continuationSeparator" w:id="0">
    <w:p w:rsidR="004D5F36" w:rsidRDefault="004D5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5F36" w:rsidRDefault="004D5F36">
      <w:r>
        <w:separator/>
      </w:r>
    </w:p>
  </w:footnote>
  <w:footnote w:type="continuationSeparator" w:id="0">
    <w:p w:rsidR="004D5F36" w:rsidRDefault="004D5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67F8C"/>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5410F"/>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D5F36"/>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72D36"/>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3CBD77-73FC-4FE2-BCEB-74496F522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2026-08-05T02:30:00Z</dcterms:modified>
</cp:coreProperties>
</file>