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Hà Nội</w:t>
      </w:r>
    </w:p>
    <w:p w:rsidR="00BF1230" w:rsidRDefault="00BF1230" w:rsidP="00BF1230">
      <w:pPr>
        <w:jc w:val="center"/>
        <w:rPr>
          <w:bCs/>
          <w:i/>
          <w:iCs/>
          <w:sz w:val="26"/>
          <w:szCs w:val="26"/>
        </w:rPr>
      </w:pPr>
      <w:r>
        <w:rPr>
          <w:bCs/>
          <w:i/>
          <w:iCs/>
          <w:sz w:val="26"/>
          <w:szCs w:val="26"/>
        </w:rPr>
        <w:t>(Kèm theo Báo cáo số: ......... ngày ......... của UBND Thành phố Hà Nội)</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1D67C3" w:rsidRPr="007E433C" w:rsidTr="00CD66EA">
        <w:trPr>
          <w:trHeight w:val="854"/>
          <w:tblHeader/>
        </w:trPr>
        <w:tc>
          <w:tcPr>
            <w:tcW w:w="715" w:type="dxa"/>
            <w:shd w:val="clear" w:color="auto" w:fill="F7CAAC" w:themeFill="accent2" w:themeFillTint="66"/>
            <w:vAlign w:val="center"/>
          </w:tcPr>
          <w:p w:rsidR="001D67C3" w:rsidRPr="007E433C" w:rsidRDefault="001D67C3" w:rsidP="001D67C3">
            <w:pPr>
              <w:jc w:val="center"/>
              <w:rPr>
                <w:b/>
                <w:bCs/>
                <w:iCs/>
                <w:sz w:val="24"/>
              </w:rPr>
            </w:pPr>
            <w:r w:rsidRPr="007E433C">
              <w:rPr>
                <w:b/>
                <w:bCs/>
                <w:iCs/>
                <w:sz w:val="24"/>
              </w:rPr>
              <w:t>STT</w:t>
            </w:r>
          </w:p>
        </w:tc>
        <w:tc>
          <w:tcPr>
            <w:tcW w:w="2520" w:type="dxa"/>
            <w:shd w:val="clear" w:color="auto" w:fill="F7CAAC" w:themeFill="accent2" w:themeFillTint="66"/>
            <w:vAlign w:val="center"/>
          </w:tcPr>
          <w:p w:rsidR="001D67C3" w:rsidRDefault="001D67C3" w:rsidP="001D67C3">
            <w:pPr>
              <w:jc w:val="center"/>
              <w:rPr>
                <w:b/>
                <w:bCs/>
                <w:sz w:val="24"/>
              </w:rPr>
            </w:pPr>
            <w:r w:rsidRPr="0085786E">
              <w:rPr>
                <w:b/>
                <w:bCs/>
                <w:sz w:val="24"/>
                <w:lang w:val="vi-VN"/>
              </w:rPr>
              <w:t xml:space="preserve">Tên </w:t>
            </w:r>
            <w:r>
              <w:rPr>
                <w:b/>
                <w:bCs/>
                <w:sz w:val="24"/>
              </w:rPr>
              <w:t>VB</w:t>
            </w:r>
          </w:p>
          <w:p w:rsidR="001D67C3" w:rsidRPr="007E433C" w:rsidRDefault="001D67C3" w:rsidP="001D67C3">
            <w:pPr>
              <w:jc w:val="center"/>
              <w:rPr>
                <w:b/>
                <w:bCs/>
                <w:iCs/>
                <w:sz w:val="24"/>
              </w:rPr>
            </w:pPr>
            <w:r>
              <w:rPr>
                <w:b/>
                <w:bCs/>
                <w:sz w:val="24"/>
              </w:rPr>
              <w:t>đề xuất ban hành mới</w:t>
            </w:r>
          </w:p>
        </w:tc>
        <w:tc>
          <w:tcPr>
            <w:tcW w:w="2250" w:type="dxa"/>
            <w:shd w:val="clear" w:color="auto" w:fill="F7CAAC" w:themeFill="accent2" w:themeFillTint="66"/>
            <w:vAlign w:val="center"/>
          </w:tcPr>
          <w:p w:rsidR="001D67C3" w:rsidRPr="007E433C" w:rsidRDefault="001D67C3" w:rsidP="001D67C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1D67C3" w:rsidRDefault="001D67C3" w:rsidP="001D67C3">
            <w:pPr>
              <w:jc w:val="center"/>
              <w:rPr>
                <w:b/>
                <w:bCs/>
                <w:sz w:val="24"/>
              </w:rPr>
            </w:pPr>
            <w:r>
              <w:rPr>
                <w:b/>
                <w:bCs/>
                <w:sz w:val="24"/>
              </w:rPr>
              <w:t>Dự kiến phạm vi</w:t>
            </w:r>
          </w:p>
          <w:p w:rsidR="001D67C3" w:rsidRPr="007E433C" w:rsidRDefault="001D67C3" w:rsidP="001D67C3">
            <w:pPr>
              <w:jc w:val="center"/>
              <w:rPr>
                <w:b/>
                <w:bCs/>
                <w:sz w:val="24"/>
              </w:rPr>
            </w:pPr>
            <w:r>
              <w:rPr>
                <w:b/>
                <w:bCs/>
                <w:sz w:val="24"/>
              </w:rPr>
              <w:t>điều chỉnh của VB</w:t>
            </w:r>
          </w:p>
        </w:tc>
        <w:tc>
          <w:tcPr>
            <w:tcW w:w="2610" w:type="dxa"/>
            <w:shd w:val="clear" w:color="auto" w:fill="F7CAAC" w:themeFill="accent2" w:themeFillTint="66"/>
            <w:vAlign w:val="center"/>
          </w:tcPr>
          <w:p w:rsidR="001D67C3" w:rsidRDefault="001D67C3" w:rsidP="001D67C3">
            <w:pPr>
              <w:jc w:val="center"/>
              <w:rPr>
                <w:b/>
                <w:bCs/>
                <w:sz w:val="24"/>
              </w:rPr>
            </w:pPr>
            <w:r>
              <w:rPr>
                <w:b/>
                <w:bCs/>
                <w:sz w:val="24"/>
              </w:rPr>
              <w:t>Lộ trình</w:t>
            </w:r>
          </w:p>
          <w:p w:rsidR="001D67C3" w:rsidRDefault="001D67C3" w:rsidP="001D67C3">
            <w:pPr>
              <w:jc w:val="center"/>
              <w:rPr>
                <w:b/>
                <w:bCs/>
                <w:sz w:val="24"/>
              </w:rPr>
            </w:pPr>
            <w:r>
              <w:rPr>
                <w:b/>
                <w:bCs/>
                <w:sz w:val="24"/>
              </w:rPr>
              <w:t>xây dựng,</w:t>
            </w:r>
          </w:p>
          <w:p w:rsidR="001D67C3" w:rsidRPr="007E433C" w:rsidRDefault="001D67C3" w:rsidP="001D67C3">
            <w:pPr>
              <w:jc w:val="center"/>
              <w:rPr>
                <w:b/>
                <w:bCs/>
                <w:sz w:val="24"/>
              </w:rPr>
            </w:pPr>
            <w:r>
              <w:rPr>
                <w:b/>
                <w:bCs/>
                <w:sz w:val="24"/>
              </w:rPr>
              <w:t>ban hành VB</w:t>
            </w:r>
          </w:p>
        </w:tc>
        <w:tc>
          <w:tcPr>
            <w:tcW w:w="1980" w:type="dxa"/>
            <w:shd w:val="clear" w:color="auto" w:fill="F7CAAC" w:themeFill="accent2" w:themeFillTint="66"/>
            <w:vAlign w:val="center"/>
          </w:tcPr>
          <w:p w:rsidR="001D67C3" w:rsidRDefault="001D67C3" w:rsidP="001D67C3">
            <w:pPr>
              <w:jc w:val="center"/>
              <w:rPr>
                <w:b/>
                <w:bCs/>
                <w:iCs/>
                <w:sz w:val="24"/>
              </w:rPr>
            </w:pPr>
            <w:r w:rsidRPr="007E433C">
              <w:rPr>
                <w:b/>
                <w:bCs/>
                <w:iCs/>
                <w:sz w:val="24"/>
              </w:rPr>
              <w:t xml:space="preserve">Tiêu chí </w:t>
            </w:r>
          </w:p>
          <w:p w:rsidR="001D67C3" w:rsidRPr="007E433C" w:rsidRDefault="001D67C3" w:rsidP="001D67C3">
            <w:pPr>
              <w:jc w:val="center"/>
              <w:rPr>
                <w:b/>
                <w:bCs/>
                <w:iCs/>
                <w:sz w:val="24"/>
              </w:rPr>
            </w:pPr>
            <w:r w:rsidRPr="007E433C">
              <w:rPr>
                <w:b/>
                <w:bCs/>
                <w:iCs/>
                <w:sz w:val="24"/>
              </w:rPr>
              <w:t>rà soát</w:t>
            </w:r>
          </w:p>
        </w:tc>
        <w:tc>
          <w:tcPr>
            <w:tcW w:w="1710" w:type="dxa"/>
            <w:shd w:val="clear" w:color="auto" w:fill="F7CAAC" w:themeFill="accent2" w:themeFillTint="66"/>
            <w:vAlign w:val="center"/>
          </w:tcPr>
          <w:p w:rsidR="001D67C3" w:rsidRDefault="001D67C3" w:rsidP="001D67C3">
            <w:pPr>
              <w:jc w:val="center"/>
              <w:rPr>
                <w:b/>
                <w:bCs/>
                <w:sz w:val="24"/>
              </w:rPr>
            </w:pPr>
            <w:r>
              <w:rPr>
                <w:b/>
                <w:bCs/>
                <w:sz w:val="24"/>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F30CCF">
        <w:trPr>
          <w:trHeight w:val="315"/>
        </w:trPr>
        <w:tc>
          <w:tcPr>
            <w:tcW w:w="14575" w:type="dxa"/>
            <w:gridSpan w:val="7"/>
            <w:vAlign w:val="center"/>
          </w:tcPr>
          <w:p w:rsidR="00F30CCF" w:rsidRDefault="00DA0C6E">
            <w:pPr>
              <w:ind w:left="1080"/>
              <w:jc w:val="center"/>
              <w:rPr>
                <w:b/>
                <w:sz w:val="26"/>
                <w:szCs w:val="26"/>
              </w:rPr>
            </w:pPr>
            <w:r>
              <w:rPr>
                <w:b/>
                <w:sz w:val="26"/>
                <w:szCs w:val="26"/>
              </w:rPr>
              <w:t>I. KHOA HỌC VÀ CÔNG NGHỆ</w:t>
            </w:r>
          </w:p>
        </w:tc>
      </w:tr>
      <w:tr w:rsidR="00F30CCF">
        <w:tc>
          <w:tcPr>
            <w:tcW w:w="715" w:type="dxa"/>
            <w:vAlign w:val="center"/>
          </w:tcPr>
          <w:p w:rsidR="00F30CCF" w:rsidRDefault="00DA0C6E">
            <w:pPr>
              <w:jc w:val="center"/>
              <w:rPr>
                <w:bCs/>
                <w:iCs/>
                <w:sz w:val="26"/>
                <w:szCs w:val="26"/>
              </w:rPr>
            </w:pPr>
            <w:r>
              <w:rPr>
                <w:bCs/>
                <w:iCs/>
                <w:sz w:val="26"/>
                <w:szCs w:val="26"/>
              </w:rPr>
              <w:t>1.</w:t>
            </w:r>
          </w:p>
        </w:tc>
        <w:tc>
          <w:tcPr>
            <w:tcW w:w="2520" w:type="dxa"/>
            <w:vAlign w:val="center"/>
          </w:tcPr>
          <w:p w:rsidR="00F30CCF" w:rsidRDefault="00DA0C6E">
            <w:pPr>
              <w:jc w:val="both"/>
              <w:rPr>
                <w:bCs/>
                <w:iCs/>
                <w:sz w:val="26"/>
                <w:szCs w:val="26"/>
              </w:rPr>
            </w:pPr>
            <w:r>
              <w:rPr>
                <w:bCs/>
                <w:iCs/>
                <w:sz w:val="26"/>
                <w:szCs w:val="26"/>
              </w:rPr>
              <w:t>Nghị quyết quy định chính sách hỗ trợ hoạt động của Tổ chuyển đổi số cộng đồng trên địa bàn thành phố Hà Nội giai đoạn 2026 - 2030</w:t>
            </w:r>
          </w:p>
        </w:tc>
        <w:tc>
          <w:tcPr>
            <w:tcW w:w="2250" w:type="dxa"/>
            <w:vAlign w:val="center"/>
          </w:tcPr>
          <w:p w:rsidR="00F30CCF" w:rsidRDefault="00DA0C6E">
            <w:pPr>
              <w:jc w:val="both"/>
              <w:rPr>
                <w:bCs/>
                <w:iCs/>
                <w:sz w:val="26"/>
                <w:szCs w:val="26"/>
              </w:rPr>
            </w:pPr>
            <w:r>
              <w:rPr>
                <w:bCs/>
                <w:iCs/>
                <w:sz w:val="26"/>
                <w:szCs w:val="26"/>
              </w:rPr>
              <w:t xml:space="preserve">- Nghị </w:t>
            </w:r>
            <w:r>
              <w:rPr>
                <w:bCs/>
                <w:iCs/>
                <w:sz w:val="26"/>
                <w:szCs w:val="26"/>
              </w:rPr>
              <w:t>quyết số 57-NQ/TW ngày 22/12/2024 của Bộ Chính trị về đột phá phát triển khoa học, công nghệ, đổi mới sáng tạo và chuyển đổi số quốc gia;</w:t>
            </w:r>
            <w:r>
              <w:rPr>
                <w:bCs/>
                <w:iCs/>
                <w:sz w:val="26"/>
                <w:szCs w:val="26"/>
              </w:rPr>
              <w:br/>
              <w:t xml:space="preserve">- Kế hoạch số </w:t>
            </w:r>
            <w:r>
              <w:rPr>
                <w:bCs/>
                <w:iCs/>
                <w:sz w:val="26"/>
                <w:szCs w:val="26"/>
              </w:rPr>
              <w:lastRenderedPageBreak/>
              <w:t>20/KH-UBND, ngày 14/01/2026 của UBND Thành phố Hà Nội về hoạt động của Tổ Chuyển đổi số cộng đồng trên đ</w:t>
            </w:r>
            <w:r>
              <w:rPr>
                <w:bCs/>
                <w:iCs/>
                <w:sz w:val="26"/>
                <w:szCs w:val="26"/>
              </w:rPr>
              <w:t xml:space="preserve">ịa bàn Thành phố năm  2026; theo đó, UBND Thành phố đã giao nhiệm vụ tham mưu xây dựng Nghị Quyết của Hội đồng nhân dân Thành phố về cơ chế chính sách hỗ trợ Tổ Chuyển đổi số cộng đồng cho các Sở: Khoa học và Công nghệ, Nội vụ, Tư pháp và UBND xã, phường; </w:t>
            </w:r>
            <w:r>
              <w:rPr>
                <w:bCs/>
                <w:iCs/>
                <w:sz w:val="26"/>
                <w:szCs w:val="26"/>
              </w:rPr>
              <w:t>các Doanh nghiệp công nghệ số cung cấp các dịch vụ thực hiện trong năm 2026.</w:t>
            </w:r>
          </w:p>
        </w:tc>
        <w:tc>
          <w:tcPr>
            <w:tcW w:w="2790" w:type="dxa"/>
            <w:vAlign w:val="center"/>
          </w:tcPr>
          <w:p w:rsidR="00F30CCF" w:rsidRDefault="00DA0C6E">
            <w:pPr>
              <w:jc w:val="both"/>
              <w:rPr>
                <w:bCs/>
                <w:iCs/>
                <w:sz w:val="26"/>
                <w:szCs w:val="26"/>
              </w:rPr>
            </w:pPr>
            <w:r>
              <w:rPr>
                <w:bCs/>
                <w:iCs/>
                <w:sz w:val="26"/>
                <w:szCs w:val="26"/>
              </w:rPr>
              <w:lastRenderedPageBreak/>
              <w:t>Quy định chính sách hỗ trợ hoạt động của Tổ chuyển đổi số cộng đồng trên địa bàn thành phố Hà Nội giai đoạn 2026 - 2030</w:t>
            </w:r>
          </w:p>
        </w:tc>
        <w:tc>
          <w:tcPr>
            <w:tcW w:w="2610" w:type="dxa"/>
            <w:vAlign w:val="center"/>
          </w:tcPr>
          <w:p w:rsidR="00F30CCF" w:rsidRDefault="00DA0C6E">
            <w:pPr>
              <w:jc w:val="both"/>
              <w:rPr>
                <w:bCs/>
                <w:iCs/>
                <w:sz w:val="26"/>
                <w:szCs w:val="26"/>
              </w:rPr>
            </w:pPr>
            <w:r>
              <w:rPr>
                <w:bCs/>
                <w:iCs/>
                <w:sz w:val="26"/>
                <w:szCs w:val="26"/>
              </w:rPr>
              <w:t>2026-2027</w:t>
            </w:r>
          </w:p>
        </w:tc>
        <w:tc>
          <w:tcPr>
            <w:tcW w:w="1980" w:type="dxa"/>
            <w:vAlign w:val="center"/>
          </w:tcPr>
          <w:p w:rsidR="00F30CCF" w:rsidRDefault="00DA0C6E">
            <w:pPr>
              <w:jc w:val="both"/>
              <w:rPr>
                <w:bCs/>
                <w:iCs/>
                <w:sz w:val="26"/>
                <w:szCs w:val="26"/>
              </w:rPr>
            </w:pPr>
            <w:r>
              <w:rPr>
                <w:bCs/>
                <w:iCs/>
                <w:sz w:val="26"/>
                <w:szCs w:val="26"/>
              </w:rPr>
              <w:t>Tiêu chí 1.2 - Tiêu chí về khoa học, công nghệ</w:t>
            </w:r>
          </w:p>
        </w:tc>
        <w:tc>
          <w:tcPr>
            <w:tcW w:w="1710" w:type="dxa"/>
            <w:vAlign w:val="center"/>
          </w:tcPr>
          <w:p w:rsidR="00F30CCF" w:rsidRPr="001D67C3" w:rsidRDefault="001D67C3">
            <w:pPr>
              <w:jc w:val="both"/>
              <w:rPr>
                <w:b/>
                <w:bCs/>
                <w:sz w:val="24"/>
              </w:rPr>
            </w:pPr>
            <w:bookmarkStart w:id="1" w:name="_GoBack"/>
            <w:r w:rsidRPr="001D67C3">
              <w:rPr>
                <w:b/>
                <w:bCs/>
                <w:sz w:val="24"/>
              </w:rPr>
              <w:t>Không nhất trí</w:t>
            </w:r>
          </w:p>
          <w:bookmarkEnd w:id="1"/>
          <w:p w:rsidR="001D67C3" w:rsidRPr="001D67C3" w:rsidRDefault="001D67C3">
            <w:pPr>
              <w:jc w:val="both"/>
              <w:rPr>
                <w:bCs/>
                <w:sz w:val="26"/>
                <w:szCs w:val="26"/>
              </w:rPr>
            </w:pPr>
            <w:r w:rsidRPr="001D67C3">
              <w:rPr>
                <w:sz w:val="24"/>
              </w:rPr>
              <w:t xml:space="preserve">Văn bản này đã được ban hành (Nghị quyết 92/2026/NQ-HĐND ngày 15/7/2026 của Hội đồng nhân dân Thành phố </w:t>
            </w:r>
            <w:r w:rsidRPr="001D67C3">
              <w:rPr>
                <w:sz w:val="24"/>
              </w:rPr>
              <w:lastRenderedPageBreak/>
              <w:t>Hà Nội quy định chính sách hỗ trợ hoạt động của Tổ Chuyển đổi số cộng đồng trên địa bàn Thành phố Hà Nội giai đoạn 2026 - 2030</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lastRenderedPageBreak/>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C6E" w:rsidRDefault="00DA0C6E">
      <w:r>
        <w:separator/>
      </w:r>
    </w:p>
  </w:endnote>
  <w:endnote w:type="continuationSeparator" w:id="0">
    <w:p w:rsidR="00DA0C6E" w:rsidRDefault="00DA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C6E" w:rsidRDefault="00DA0C6E">
      <w:r>
        <w:separator/>
      </w:r>
    </w:p>
  </w:footnote>
  <w:footnote w:type="continuationSeparator" w:id="0">
    <w:p w:rsidR="00DA0C6E" w:rsidRDefault="00DA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D67C3"/>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A0C6E"/>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0CCF"/>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D6D12"/>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EE8EFE-CD53-4F4F-AF0E-61C696B85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2026-08-05T02:24:00Z</dcterms:modified>
</cp:coreProperties>
</file>