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94219" w14:textId="77777777" w:rsidR="00175665" w:rsidRPr="00C563BD" w:rsidRDefault="00175665" w:rsidP="00175665">
      <w:pPr>
        <w:tabs>
          <w:tab w:val="left" w:pos="3600"/>
        </w:tabs>
        <w:spacing w:before="120" w:after="0" w:line="240" w:lineRule="auto"/>
        <w:jc w:val="center"/>
        <w:rPr>
          <w:rFonts w:ascii="Times New Roman" w:hAnsi="Times New Roman"/>
          <w:bCs/>
          <w:color w:val="000000"/>
          <w:sz w:val="26"/>
          <w:szCs w:val="26"/>
        </w:rPr>
      </w:pPr>
      <w:bookmarkStart w:id="0" w:name="_Toc458041024"/>
      <w:bookmarkStart w:id="1" w:name="_Toc458629959"/>
      <w:r w:rsidRPr="00C563BD">
        <w:rPr>
          <w:rFonts w:ascii="Times New Roman" w:hAnsi="Times New Roman"/>
          <w:bCs/>
          <w:color w:val="000000"/>
          <w:sz w:val="26"/>
          <w:szCs w:val="26"/>
        </w:rPr>
        <w:t>BỘ THÔNG TIN VÀ TRUYỀN THÔNG</w:t>
      </w:r>
    </w:p>
    <w:p w14:paraId="30A9B1CB" w14:textId="77777777" w:rsidR="00175665" w:rsidRPr="00810C1C" w:rsidRDefault="00175665" w:rsidP="00175665">
      <w:pPr>
        <w:tabs>
          <w:tab w:val="left" w:pos="3600"/>
        </w:tabs>
        <w:spacing w:before="120" w:after="0" w:line="240" w:lineRule="auto"/>
        <w:jc w:val="center"/>
        <w:rPr>
          <w:rFonts w:ascii="Times New Roman" w:hAnsi="Times New Roman"/>
          <w:b/>
          <w:color w:val="000000"/>
          <w:sz w:val="26"/>
          <w:szCs w:val="26"/>
        </w:rPr>
      </w:pPr>
      <w:r w:rsidRPr="00810C1C">
        <w:rPr>
          <w:rFonts w:ascii="Times New Roman" w:hAnsi="Times New Roman"/>
          <w:b/>
          <w:color w:val="000000"/>
          <w:sz w:val="26"/>
          <w:szCs w:val="26"/>
        </w:rPr>
        <w:t>HỌC VIỆN CÔNG NGHỆ BƯU CHÍNH VIỄN THÔNG</w:t>
      </w:r>
    </w:p>
    <w:p w14:paraId="6FDA6EFE" w14:textId="77777777" w:rsidR="00175665" w:rsidRDefault="00175665" w:rsidP="00175665">
      <w:pPr>
        <w:spacing w:before="120" w:after="0" w:line="360" w:lineRule="auto"/>
        <w:jc w:val="both"/>
        <w:rPr>
          <w:rFonts w:ascii="Times New Roman" w:hAnsi="Times New Roman"/>
          <w:b/>
          <w:bCs/>
          <w:color w:val="000000"/>
          <w:sz w:val="28"/>
          <w:szCs w:val="28"/>
          <w:lang w:val="vi-VN"/>
        </w:rPr>
      </w:pPr>
    </w:p>
    <w:p w14:paraId="5A60F9F1" w14:textId="77777777" w:rsidR="00810C1C" w:rsidRPr="00810C1C" w:rsidRDefault="00810C1C" w:rsidP="00175665">
      <w:pPr>
        <w:spacing w:before="120" w:after="0" w:line="360" w:lineRule="auto"/>
        <w:jc w:val="both"/>
        <w:rPr>
          <w:rFonts w:ascii="Times New Roman" w:hAnsi="Times New Roman"/>
          <w:b/>
          <w:bCs/>
          <w:color w:val="000000"/>
          <w:sz w:val="26"/>
          <w:szCs w:val="26"/>
          <w:lang w:val="vi-VN"/>
        </w:rPr>
      </w:pPr>
    </w:p>
    <w:p w14:paraId="29E0F7C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68EE16A"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226A81F7"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6B08AE21"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470D1A2E"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9F4EECB" w14:textId="1287C0DC" w:rsidR="00175665" w:rsidRPr="00810C1C" w:rsidRDefault="00175665" w:rsidP="00810C1C">
      <w:pPr>
        <w:tabs>
          <w:tab w:val="left" w:pos="3823"/>
        </w:tabs>
        <w:spacing w:before="120" w:after="120" w:line="288" w:lineRule="auto"/>
        <w:ind w:left="-567"/>
        <w:jc w:val="center"/>
        <w:rPr>
          <w:rFonts w:ascii="Times New Roman" w:hAnsi="Times New Roman"/>
          <w:b/>
          <w:color w:val="000000"/>
          <w:sz w:val="36"/>
          <w:szCs w:val="36"/>
          <w:lang w:val="vi-VN"/>
        </w:rPr>
      </w:pPr>
      <w:r w:rsidRPr="00C0416E">
        <w:rPr>
          <w:rFonts w:ascii="Times New Roman" w:hAnsi="Times New Roman"/>
          <w:b/>
          <w:color w:val="000000"/>
          <w:sz w:val="36"/>
          <w:szCs w:val="36"/>
          <w:lang w:val="vi-VN"/>
        </w:rPr>
        <w:t xml:space="preserve">THUYẾT MINH </w:t>
      </w:r>
      <w:r w:rsidRPr="00810C1C">
        <w:rPr>
          <w:rFonts w:ascii="Times New Roman" w:hAnsi="Times New Roman"/>
          <w:b/>
          <w:color w:val="000000"/>
          <w:sz w:val="36"/>
          <w:szCs w:val="36"/>
          <w:lang w:val="vi-VN"/>
        </w:rPr>
        <w:t>DỰ THẢO</w:t>
      </w:r>
      <w:r w:rsidR="00C0416E" w:rsidRPr="00810C1C">
        <w:rPr>
          <w:rFonts w:ascii="Times New Roman" w:hAnsi="Times New Roman"/>
          <w:b/>
          <w:color w:val="000000"/>
          <w:sz w:val="36"/>
          <w:szCs w:val="36"/>
          <w:lang w:val="vi-VN"/>
        </w:rPr>
        <w:t xml:space="preserve"> </w:t>
      </w:r>
      <w:r w:rsidRPr="00810C1C">
        <w:rPr>
          <w:rFonts w:ascii="Times New Roman" w:hAnsi="Times New Roman"/>
          <w:b/>
          <w:color w:val="000000"/>
          <w:sz w:val="36"/>
          <w:szCs w:val="36"/>
          <w:lang w:val="vi-VN"/>
        </w:rPr>
        <w:t>TIÊU CHUẨN QUỐC GIA</w:t>
      </w:r>
      <w:r w:rsidRPr="00C0416E">
        <w:rPr>
          <w:rFonts w:ascii="Times New Roman" w:hAnsi="Times New Roman"/>
          <w:b/>
          <w:color w:val="000000"/>
          <w:sz w:val="28"/>
          <w:szCs w:val="28"/>
          <w:lang w:val="vi-VN"/>
        </w:rPr>
        <w:t xml:space="preserve"> </w:t>
      </w:r>
    </w:p>
    <w:p w14:paraId="35094751" w14:textId="0E9E2FC7" w:rsidR="00810C1C" w:rsidRDefault="00175665" w:rsidP="00810C1C">
      <w:pPr>
        <w:tabs>
          <w:tab w:val="left" w:pos="3823"/>
        </w:tabs>
        <w:snapToGrid w:val="0"/>
        <w:spacing w:before="120" w:after="120" w:line="240" w:lineRule="auto"/>
        <w:ind w:left="-567"/>
        <w:jc w:val="center"/>
        <w:rPr>
          <w:rFonts w:ascii="Times New Roman" w:hAnsi="Times New Roman"/>
          <w:b/>
          <w:color w:val="000000"/>
          <w:sz w:val="28"/>
          <w:szCs w:val="28"/>
          <w:lang w:val="vi-VN"/>
        </w:rPr>
      </w:pPr>
      <w:r w:rsidRPr="00C563BD">
        <w:rPr>
          <w:rFonts w:ascii="Times New Roman" w:hAnsi="Times New Roman"/>
          <w:b/>
          <w:color w:val="000000"/>
          <w:sz w:val="28"/>
          <w:szCs w:val="28"/>
        </w:rPr>
        <w:t>C</w:t>
      </w:r>
      <w:r w:rsidRPr="00810C1C">
        <w:rPr>
          <w:rFonts w:ascii="Times New Roman" w:hAnsi="Times New Roman"/>
          <w:b/>
          <w:color w:val="000000"/>
          <w:sz w:val="28"/>
          <w:szCs w:val="28"/>
          <w:lang w:val="vi-VN"/>
        </w:rPr>
        <w:t xml:space="preserve">ÔNG NGHỆ THÔNG TIN </w:t>
      </w:r>
      <w:r w:rsidR="00810C1C" w:rsidRPr="00810C1C">
        <w:rPr>
          <w:rFonts w:ascii="Times New Roman" w:hAnsi="Times New Roman"/>
          <w:b/>
          <w:color w:val="000000"/>
          <w:sz w:val="28"/>
          <w:szCs w:val="28"/>
          <w:lang w:val="vi-VN"/>
        </w:rPr>
        <w:t xml:space="preserve">– </w:t>
      </w:r>
      <w:r w:rsidR="00901B21">
        <w:rPr>
          <w:rFonts w:ascii="Times New Roman" w:hAnsi="Times New Roman"/>
          <w:b/>
          <w:color w:val="000000"/>
          <w:sz w:val="28"/>
          <w:szCs w:val="28"/>
          <w:lang w:val="vi-VN"/>
        </w:rPr>
        <w:t>CHỈ SỐ CHẤT LƯỢNG</w:t>
      </w:r>
      <w:r w:rsidR="00810C1C" w:rsidRPr="00810C1C">
        <w:rPr>
          <w:rFonts w:ascii="Times New Roman" w:hAnsi="Times New Roman"/>
          <w:b/>
          <w:color w:val="000000"/>
          <w:sz w:val="28"/>
          <w:szCs w:val="28"/>
          <w:lang w:val="vi-VN"/>
        </w:rPr>
        <w:t xml:space="preserve"> CHÍNH</w:t>
      </w:r>
    </w:p>
    <w:p w14:paraId="73F300FF" w14:textId="324C5297" w:rsidR="00810C1C" w:rsidRPr="00810C1C" w:rsidRDefault="00810C1C" w:rsidP="00810C1C">
      <w:pPr>
        <w:tabs>
          <w:tab w:val="left" w:pos="3823"/>
        </w:tabs>
        <w:snapToGrid w:val="0"/>
        <w:spacing w:before="120" w:after="120" w:line="240" w:lineRule="auto"/>
        <w:ind w:left="-567"/>
        <w:jc w:val="center"/>
        <w:rPr>
          <w:rFonts w:ascii="Times New Roman" w:hAnsi="Times New Roman"/>
          <w:b/>
          <w:color w:val="000000"/>
          <w:sz w:val="28"/>
          <w:szCs w:val="28"/>
          <w:lang w:val="vi-VN"/>
        </w:rPr>
      </w:pPr>
      <w:r w:rsidRPr="00810C1C">
        <w:rPr>
          <w:rFonts w:ascii="Times New Roman" w:hAnsi="Times New Roman"/>
          <w:b/>
          <w:color w:val="000000"/>
          <w:sz w:val="28"/>
          <w:szCs w:val="28"/>
          <w:lang w:val="vi-VN"/>
        </w:rPr>
        <w:t xml:space="preserve">PHẦN 2: HIỆU SUẤT SỬ DỤNG ĐIỆN (PUE) </w:t>
      </w:r>
    </w:p>
    <w:p w14:paraId="4C7A2215" w14:textId="77777777" w:rsidR="00810C1C" w:rsidRPr="00810C1C" w:rsidRDefault="00810C1C"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810C1C">
        <w:rPr>
          <w:rFonts w:ascii="Times New Roman" w:hAnsi="Times New Roman"/>
          <w:b/>
          <w:i/>
          <w:iCs/>
          <w:color w:val="000000"/>
          <w:sz w:val="28"/>
          <w:szCs w:val="28"/>
          <w:lang w:val="vi-VN"/>
        </w:rPr>
        <w:t>Information technology - Data centres - Key performance indicators -</w:t>
      </w:r>
    </w:p>
    <w:p w14:paraId="5BBF6AD7" w14:textId="77777777" w:rsidR="00810C1C" w:rsidRDefault="00810C1C"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810C1C">
        <w:rPr>
          <w:rFonts w:ascii="Times New Roman" w:hAnsi="Times New Roman"/>
          <w:b/>
          <w:i/>
          <w:iCs/>
          <w:color w:val="000000"/>
          <w:sz w:val="28"/>
          <w:szCs w:val="28"/>
          <w:lang w:val="vi-VN"/>
        </w:rPr>
        <w:t>Part 2: Power usage effectiveness (PUE)</w:t>
      </w:r>
      <w:r w:rsidR="00175665" w:rsidRPr="00810C1C">
        <w:rPr>
          <w:rFonts w:ascii="Times New Roman" w:hAnsi="Times New Roman"/>
          <w:b/>
          <w:i/>
          <w:iCs/>
          <w:color w:val="000000"/>
          <w:sz w:val="28"/>
          <w:szCs w:val="28"/>
          <w:lang w:val="vi-VN"/>
        </w:rPr>
        <w:t xml:space="preserve"> </w:t>
      </w:r>
    </w:p>
    <w:p w14:paraId="2DA946DD" w14:textId="0E2FD307" w:rsidR="00175665" w:rsidRPr="00810C1C" w:rsidRDefault="00175665"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C563BD">
        <w:rPr>
          <w:rFonts w:ascii="Times New Roman" w:hAnsi="Times New Roman"/>
          <w:b/>
          <w:color w:val="000000"/>
          <w:sz w:val="28"/>
          <w:szCs w:val="28"/>
          <w:lang w:val="vi-VN"/>
        </w:rPr>
        <w:t xml:space="preserve">Ký hiệu: TCVN </w:t>
      </w:r>
      <w:r w:rsidR="00712BA6">
        <w:rPr>
          <w:rFonts w:ascii="Times New Roman" w:hAnsi="Times New Roman"/>
          <w:b/>
          <w:color w:val="000000"/>
          <w:sz w:val="28"/>
          <w:szCs w:val="28"/>
          <w:lang w:val="vi-VN"/>
        </w:rPr>
        <w:t xml:space="preserve">ISO/IEC </w:t>
      </w:r>
      <w:r w:rsidR="00810C1C">
        <w:rPr>
          <w:rFonts w:ascii="Times New Roman" w:hAnsi="Times New Roman"/>
          <w:b/>
          <w:color w:val="000000"/>
          <w:sz w:val="28"/>
          <w:szCs w:val="28"/>
          <w:lang w:val="vi-VN"/>
        </w:rPr>
        <w:t>30134</w:t>
      </w:r>
      <w:r w:rsidR="00712BA6">
        <w:rPr>
          <w:rFonts w:ascii="Times New Roman" w:hAnsi="Times New Roman"/>
          <w:b/>
          <w:color w:val="000000"/>
          <w:sz w:val="28"/>
          <w:szCs w:val="28"/>
          <w:lang w:val="vi-VN"/>
        </w:rPr>
        <w:t>-</w:t>
      </w:r>
      <w:r w:rsidR="00810C1C">
        <w:rPr>
          <w:rFonts w:ascii="Times New Roman" w:hAnsi="Times New Roman"/>
          <w:b/>
          <w:color w:val="000000"/>
          <w:sz w:val="28"/>
          <w:szCs w:val="28"/>
          <w:lang w:val="vi-VN"/>
        </w:rPr>
        <w:t>2</w:t>
      </w:r>
      <w:r w:rsidR="00712BA6">
        <w:rPr>
          <w:rFonts w:ascii="Times New Roman" w:hAnsi="Times New Roman"/>
          <w:b/>
          <w:color w:val="000000"/>
          <w:sz w:val="28"/>
          <w:szCs w:val="28"/>
          <w:lang w:val="vi-VN"/>
        </w:rPr>
        <w:t>:202</w:t>
      </w:r>
      <w:r w:rsidR="00810C1C">
        <w:rPr>
          <w:rFonts w:ascii="Times New Roman" w:hAnsi="Times New Roman"/>
          <w:b/>
          <w:color w:val="000000"/>
          <w:sz w:val="28"/>
          <w:szCs w:val="28"/>
          <w:lang w:val="vi-VN"/>
        </w:rPr>
        <w:t>4</w:t>
      </w:r>
    </w:p>
    <w:p w14:paraId="52106825" w14:textId="77777777" w:rsidR="00175665" w:rsidRPr="00C563BD" w:rsidRDefault="00175665" w:rsidP="00175665">
      <w:pPr>
        <w:spacing w:before="120" w:after="0" w:line="360" w:lineRule="auto"/>
        <w:jc w:val="center"/>
        <w:rPr>
          <w:rFonts w:ascii="Times New Roman" w:hAnsi="Times New Roman"/>
          <w:b/>
          <w:color w:val="000000"/>
          <w:sz w:val="26"/>
          <w:szCs w:val="26"/>
        </w:rPr>
      </w:pPr>
    </w:p>
    <w:p w14:paraId="5A7847CE" w14:textId="77777777" w:rsidR="00175665" w:rsidRDefault="00175665" w:rsidP="00175665">
      <w:pPr>
        <w:spacing w:before="120" w:after="0" w:line="360" w:lineRule="auto"/>
        <w:ind w:left="-567"/>
        <w:jc w:val="center"/>
        <w:rPr>
          <w:rFonts w:ascii="Times New Roman" w:hAnsi="Times New Roman"/>
          <w:b/>
          <w:color w:val="000000"/>
          <w:sz w:val="26"/>
          <w:szCs w:val="26"/>
          <w:lang w:val="vi-VN"/>
        </w:rPr>
      </w:pPr>
    </w:p>
    <w:p w14:paraId="7721AFEA" w14:textId="77777777" w:rsidR="00810C1C" w:rsidRPr="00810C1C" w:rsidRDefault="00810C1C" w:rsidP="00810C1C">
      <w:pPr>
        <w:spacing w:before="120" w:after="0" w:line="360" w:lineRule="auto"/>
        <w:rPr>
          <w:rFonts w:ascii="Times New Roman" w:hAnsi="Times New Roman"/>
          <w:b/>
          <w:color w:val="000000"/>
          <w:sz w:val="26"/>
          <w:szCs w:val="26"/>
          <w:lang w:val="vi-VN"/>
        </w:rPr>
      </w:pPr>
    </w:p>
    <w:p w14:paraId="3FC545C9" w14:textId="77777777" w:rsidR="00175665" w:rsidRPr="00810C1C" w:rsidRDefault="00175665" w:rsidP="00175665">
      <w:pPr>
        <w:spacing w:before="120" w:after="0" w:line="360" w:lineRule="auto"/>
        <w:jc w:val="both"/>
        <w:rPr>
          <w:rFonts w:ascii="Times New Roman" w:hAnsi="Times New Roman"/>
          <w:b/>
          <w:bCs/>
          <w:color w:val="000000"/>
          <w:sz w:val="26"/>
          <w:szCs w:val="26"/>
          <w:lang w:val="vi-VN"/>
        </w:rPr>
      </w:pPr>
    </w:p>
    <w:p w14:paraId="0E130F1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0C37458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F73AAF4"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53723B17"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CB933D3" w14:textId="77777777" w:rsidR="00C0416E" w:rsidRPr="00C563BD" w:rsidRDefault="00C0416E" w:rsidP="00175665">
      <w:pPr>
        <w:spacing w:before="120" w:after="0" w:line="360" w:lineRule="auto"/>
        <w:jc w:val="both"/>
        <w:rPr>
          <w:rFonts w:ascii="Times New Roman" w:hAnsi="Times New Roman"/>
          <w:b/>
          <w:bCs/>
          <w:color w:val="000000"/>
          <w:sz w:val="26"/>
          <w:szCs w:val="26"/>
        </w:rPr>
      </w:pPr>
    </w:p>
    <w:p w14:paraId="1B176128" w14:textId="77777777" w:rsidR="00C15705" w:rsidRPr="00C563BD" w:rsidRDefault="00C15705" w:rsidP="00175665">
      <w:pPr>
        <w:spacing w:before="120" w:after="0" w:line="360" w:lineRule="auto"/>
        <w:rPr>
          <w:rFonts w:ascii="Times New Roman" w:hAnsi="Times New Roman"/>
          <w:b/>
          <w:bCs/>
          <w:color w:val="000000"/>
          <w:sz w:val="26"/>
          <w:szCs w:val="26"/>
        </w:rPr>
      </w:pPr>
    </w:p>
    <w:p w14:paraId="1AAA498B" w14:textId="77777777" w:rsidR="00175665" w:rsidRPr="00C563BD" w:rsidRDefault="00175665" w:rsidP="00175665">
      <w:pPr>
        <w:tabs>
          <w:tab w:val="left" w:pos="5375"/>
        </w:tabs>
        <w:spacing w:after="0" w:line="360" w:lineRule="auto"/>
        <w:jc w:val="center"/>
        <w:rPr>
          <w:rFonts w:ascii="Times New Roman" w:hAnsi="Times New Roman"/>
          <w:bCs/>
          <w:color w:val="000000"/>
          <w:sz w:val="26"/>
          <w:szCs w:val="26"/>
        </w:rPr>
      </w:pPr>
    </w:p>
    <w:p w14:paraId="11D42913" w14:textId="77777777" w:rsidR="00175665" w:rsidRPr="00C563BD" w:rsidRDefault="00175665" w:rsidP="00175665">
      <w:pPr>
        <w:tabs>
          <w:tab w:val="left" w:pos="5375"/>
        </w:tabs>
        <w:spacing w:after="0" w:line="360" w:lineRule="auto"/>
        <w:rPr>
          <w:rFonts w:ascii="Times New Roman" w:hAnsi="Times New Roman"/>
          <w:bCs/>
          <w:color w:val="000000"/>
          <w:sz w:val="26"/>
          <w:szCs w:val="26"/>
        </w:rPr>
      </w:pPr>
    </w:p>
    <w:p w14:paraId="13386DA2" w14:textId="0421E0C3" w:rsidR="00175665" w:rsidRPr="00C0416E" w:rsidRDefault="00175665" w:rsidP="00C15705">
      <w:pPr>
        <w:tabs>
          <w:tab w:val="left" w:pos="5375"/>
        </w:tabs>
        <w:snapToGrid w:val="0"/>
        <w:spacing w:after="0" w:line="240" w:lineRule="auto"/>
        <w:jc w:val="center"/>
        <w:rPr>
          <w:rFonts w:ascii="Times New Roman" w:hAnsi="Times New Roman"/>
          <w:b/>
          <w:color w:val="000000"/>
          <w:sz w:val="26"/>
          <w:szCs w:val="26"/>
          <w:lang w:val="vi-VN"/>
        </w:rPr>
        <w:sectPr w:rsidR="00175665" w:rsidRPr="00C0416E" w:rsidSect="00034F9C">
          <w:pgSz w:w="11907" w:h="16840" w:code="9"/>
          <w:pgMar w:top="1134" w:right="1134" w:bottom="816" w:left="1701" w:header="567" w:footer="567" w:gutter="0"/>
          <w:pgBorders w:display="firstPage" w:offsetFrom="page">
            <w:top w:val="thickThinSmallGap" w:sz="24" w:space="20" w:color="auto"/>
            <w:left w:val="thickThinSmallGap" w:sz="24" w:space="30" w:color="auto"/>
            <w:bottom w:val="thickThinSmallGap" w:sz="24" w:space="20" w:color="auto"/>
            <w:right w:val="thickThinSmallGap" w:sz="24" w:space="15" w:color="auto"/>
          </w:pgBorders>
          <w:cols w:space="720"/>
          <w:docGrid w:linePitch="360"/>
        </w:sectPr>
      </w:pPr>
      <w:r w:rsidRPr="00C0416E">
        <w:rPr>
          <w:rFonts w:ascii="Times New Roman" w:hAnsi="Times New Roman"/>
          <w:b/>
          <w:color w:val="000000"/>
          <w:sz w:val="26"/>
          <w:szCs w:val="26"/>
        </w:rPr>
        <w:t>HÀ NỘI - 20</w:t>
      </w:r>
      <w:r w:rsidRPr="00C0416E">
        <w:rPr>
          <w:rFonts w:ascii="Times New Roman" w:hAnsi="Times New Roman"/>
          <w:b/>
          <w:color w:val="000000"/>
          <w:sz w:val="26"/>
          <w:szCs w:val="26"/>
          <w:lang w:val="vi-VN"/>
        </w:rPr>
        <w:t>2</w:t>
      </w:r>
      <w:r w:rsidR="00810C1C">
        <w:rPr>
          <w:rFonts w:ascii="Times New Roman" w:hAnsi="Times New Roman"/>
          <w:b/>
          <w:color w:val="000000"/>
          <w:sz w:val="26"/>
          <w:szCs w:val="26"/>
          <w:lang w:val="vi-VN"/>
        </w:rPr>
        <w:t>4</w:t>
      </w:r>
    </w:p>
    <w:p w14:paraId="380B0438" w14:textId="3A82359B" w:rsidR="001C22AE" w:rsidRPr="00C563BD" w:rsidRDefault="00D22B87" w:rsidP="00C15705">
      <w:pPr>
        <w:pStyle w:val="Heading1"/>
        <w:snapToGrid w:val="0"/>
        <w:spacing w:before="120" w:after="360" w:line="288" w:lineRule="auto"/>
        <w:jc w:val="center"/>
        <w:rPr>
          <w:rFonts w:ascii="Times New Roman" w:hAnsi="Times New Roman"/>
          <w:color w:val="000000"/>
          <w:sz w:val="26"/>
          <w:szCs w:val="26"/>
        </w:rPr>
      </w:pPr>
      <w:bookmarkStart w:id="2" w:name="_Toc173371012"/>
      <w:r w:rsidRPr="00C563BD">
        <w:rPr>
          <w:rFonts w:ascii="Times New Roman" w:hAnsi="Times New Roman"/>
          <w:color w:val="000000"/>
          <w:sz w:val="26"/>
          <w:szCs w:val="26"/>
        </w:rPr>
        <w:lastRenderedPageBreak/>
        <w:t>MỤC LỤC</w:t>
      </w:r>
      <w:bookmarkEnd w:id="0"/>
      <w:bookmarkEnd w:id="1"/>
      <w:bookmarkEnd w:id="2"/>
    </w:p>
    <w:p w14:paraId="417E0630" w14:textId="68DC5B3D" w:rsidR="00B65C5D" w:rsidRPr="00B65C5D" w:rsidRDefault="001C22AE" w:rsidP="00B65C5D">
      <w:pPr>
        <w:pStyle w:val="TOC1"/>
        <w:rPr>
          <w:rFonts w:asciiTheme="minorHAnsi" w:eastAsiaTheme="minorEastAsia" w:hAnsiTheme="minorHAnsi" w:cstheme="minorBidi"/>
          <w:b w:val="0"/>
          <w:noProof/>
          <w:kern w:val="2"/>
          <w:sz w:val="26"/>
          <w:szCs w:val="26"/>
          <w:lang w:val="en-VN"/>
          <w14:ligatures w14:val="standardContextual"/>
        </w:rPr>
      </w:pPr>
      <w:r w:rsidRPr="00B65C5D">
        <w:rPr>
          <w:color w:val="000000"/>
          <w:sz w:val="26"/>
          <w:szCs w:val="26"/>
        </w:rPr>
        <w:fldChar w:fldCharType="begin"/>
      </w:r>
      <w:r w:rsidRPr="00B65C5D">
        <w:rPr>
          <w:color w:val="000000"/>
          <w:sz w:val="26"/>
          <w:szCs w:val="26"/>
        </w:rPr>
        <w:instrText xml:space="preserve"> TOC \o "1-3" \h \z \u </w:instrText>
      </w:r>
      <w:r w:rsidRPr="00B65C5D">
        <w:rPr>
          <w:color w:val="000000"/>
          <w:sz w:val="26"/>
          <w:szCs w:val="26"/>
        </w:rPr>
        <w:fldChar w:fldCharType="separate"/>
      </w:r>
      <w:hyperlink w:anchor="_Toc173371012" w:history="1">
        <w:r w:rsidR="00B65C5D" w:rsidRPr="00B65C5D">
          <w:rPr>
            <w:rStyle w:val="Hyperlink"/>
            <w:noProof/>
            <w:sz w:val="26"/>
            <w:szCs w:val="26"/>
          </w:rPr>
          <w:t>MỤC LỤC</w:t>
        </w:r>
        <w:r w:rsidR="00B65C5D" w:rsidRPr="00B65C5D">
          <w:rPr>
            <w:noProof/>
            <w:webHidden/>
            <w:sz w:val="26"/>
            <w:szCs w:val="26"/>
          </w:rPr>
          <w:tab/>
        </w:r>
        <w:r w:rsidR="00B65C5D" w:rsidRPr="00B65C5D">
          <w:rPr>
            <w:noProof/>
            <w:webHidden/>
            <w:sz w:val="26"/>
            <w:szCs w:val="26"/>
          </w:rPr>
          <w:fldChar w:fldCharType="begin"/>
        </w:r>
        <w:r w:rsidR="00B65C5D" w:rsidRPr="00B65C5D">
          <w:rPr>
            <w:noProof/>
            <w:webHidden/>
            <w:sz w:val="26"/>
            <w:szCs w:val="26"/>
          </w:rPr>
          <w:instrText xml:space="preserve"> PAGEREF _Toc173371012 \h </w:instrText>
        </w:r>
        <w:r w:rsidR="00B65C5D" w:rsidRPr="00B65C5D">
          <w:rPr>
            <w:noProof/>
            <w:webHidden/>
            <w:sz w:val="26"/>
            <w:szCs w:val="26"/>
          </w:rPr>
        </w:r>
        <w:r w:rsidR="00B65C5D" w:rsidRPr="00B65C5D">
          <w:rPr>
            <w:noProof/>
            <w:webHidden/>
            <w:sz w:val="26"/>
            <w:szCs w:val="26"/>
          </w:rPr>
          <w:fldChar w:fldCharType="separate"/>
        </w:r>
        <w:r w:rsidR="006C7797">
          <w:rPr>
            <w:noProof/>
            <w:webHidden/>
            <w:sz w:val="26"/>
            <w:szCs w:val="26"/>
          </w:rPr>
          <w:t>1</w:t>
        </w:r>
        <w:r w:rsidR="00B65C5D" w:rsidRPr="00B65C5D">
          <w:rPr>
            <w:noProof/>
            <w:webHidden/>
            <w:sz w:val="26"/>
            <w:szCs w:val="26"/>
          </w:rPr>
          <w:fldChar w:fldCharType="end"/>
        </w:r>
      </w:hyperlink>
    </w:p>
    <w:p w14:paraId="1AC04112" w14:textId="1EB73FFB" w:rsidR="00B65C5D" w:rsidRPr="00B65C5D" w:rsidRDefault="00000000" w:rsidP="00B65C5D">
      <w:pPr>
        <w:pStyle w:val="TOC1"/>
        <w:rPr>
          <w:rFonts w:asciiTheme="minorHAnsi" w:eastAsiaTheme="minorEastAsia" w:hAnsiTheme="minorHAnsi" w:cstheme="minorBidi"/>
          <w:b w:val="0"/>
          <w:noProof/>
          <w:kern w:val="2"/>
          <w:sz w:val="26"/>
          <w:szCs w:val="26"/>
          <w:lang w:val="en-VN"/>
          <w14:ligatures w14:val="standardContextual"/>
        </w:rPr>
      </w:pPr>
      <w:hyperlink w:anchor="_Toc173371013" w:history="1">
        <w:r w:rsidR="00B65C5D" w:rsidRPr="00B65C5D">
          <w:rPr>
            <w:rStyle w:val="Hyperlink"/>
            <w:noProof/>
            <w:sz w:val="26"/>
            <w:szCs w:val="26"/>
          </w:rPr>
          <w:t>1.</w:t>
        </w:r>
        <w:r w:rsidR="00B65C5D" w:rsidRPr="00B65C5D">
          <w:rPr>
            <w:rFonts w:asciiTheme="minorHAnsi" w:eastAsiaTheme="minorEastAsia" w:hAnsiTheme="minorHAnsi" w:cstheme="minorBidi"/>
            <w:b w:val="0"/>
            <w:noProof/>
            <w:kern w:val="2"/>
            <w:sz w:val="26"/>
            <w:szCs w:val="26"/>
            <w:lang w:val="en-VN"/>
            <w14:ligatures w14:val="standardContextual"/>
          </w:rPr>
          <w:tab/>
        </w:r>
        <w:r w:rsidR="00B65C5D" w:rsidRPr="00B65C5D">
          <w:rPr>
            <w:rStyle w:val="Hyperlink"/>
            <w:noProof/>
            <w:sz w:val="26"/>
            <w:szCs w:val="26"/>
          </w:rPr>
          <w:t>Giới thiệu dự thảo TCVN</w:t>
        </w:r>
        <w:r w:rsidR="00B65C5D" w:rsidRPr="00B65C5D">
          <w:rPr>
            <w:noProof/>
            <w:webHidden/>
            <w:sz w:val="26"/>
            <w:szCs w:val="26"/>
          </w:rPr>
          <w:tab/>
        </w:r>
        <w:r w:rsidR="00B65C5D" w:rsidRPr="00B65C5D">
          <w:rPr>
            <w:noProof/>
            <w:webHidden/>
            <w:sz w:val="26"/>
            <w:szCs w:val="26"/>
          </w:rPr>
          <w:fldChar w:fldCharType="begin"/>
        </w:r>
        <w:r w:rsidR="00B65C5D" w:rsidRPr="00B65C5D">
          <w:rPr>
            <w:noProof/>
            <w:webHidden/>
            <w:sz w:val="26"/>
            <w:szCs w:val="26"/>
          </w:rPr>
          <w:instrText xml:space="preserve"> PAGEREF _Toc173371013 \h </w:instrText>
        </w:r>
        <w:r w:rsidR="00B65C5D" w:rsidRPr="00B65C5D">
          <w:rPr>
            <w:noProof/>
            <w:webHidden/>
            <w:sz w:val="26"/>
            <w:szCs w:val="26"/>
          </w:rPr>
        </w:r>
        <w:r w:rsidR="00B65C5D" w:rsidRPr="00B65C5D">
          <w:rPr>
            <w:noProof/>
            <w:webHidden/>
            <w:sz w:val="26"/>
            <w:szCs w:val="26"/>
          </w:rPr>
          <w:fldChar w:fldCharType="separate"/>
        </w:r>
        <w:r w:rsidR="006C7797">
          <w:rPr>
            <w:noProof/>
            <w:webHidden/>
            <w:sz w:val="26"/>
            <w:szCs w:val="26"/>
          </w:rPr>
          <w:t>2</w:t>
        </w:r>
        <w:r w:rsidR="00B65C5D" w:rsidRPr="00B65C5D">
          <w:rPr>
            <w:noProof/>
            <w:webHidden/>
            <w:sz w:val="26"/>
            <w:szCs w:val="26"/>
          </w:rPr>
          <w:fldChar w:fldCharType="end"/>
        </w:r>
      </w:hyperlink>
    </w:p>
    <w:p w14:paraId="5C8D1D03" w14:textId="5F1AB042"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14" w:history="1">
        <w:r w:rsidR="00B65C5D" w:rsidRPr="00B65C5D">
          <w:rPr>
            <w:rStyle w:val="Hyperlink"/>
          </w:rPr>
          <w:t>1.1.</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rPr>
          <w:t>Tên dự thảo theo đề cương</w:t>
        </w:r>
        <w:r w:rsidR="00B65C5D" w:rsidRPr="00B65C5D">
          <w:rPr>
            <w:webHidden/>
          </w:rPr>
          <w:tab/>
        </w:r>
        <w:r w:rsidR="00B65C5D" w:rsidRPr="00B65C5D">
          <w:rPr>
            <w:webHidden/>
          </w:rPr>
          <w:fldChar w:fldCharType="begin"/>
        </w:r>
        <w:r w:rsidR="00B65C5D" w:rsidRPr="00B65C5D">
          <w:rPr>
            <w:webHidden/>
          </w:rPr>
          <w:instrText xml:space="preserve"> PAGEREF _Toc173371014 \h </w:instrText>
        </w:r>
        <w:r w:rsidR="00B65C5D" w:rsidRPr="00B65C5D">
          <w:rPr>
            <w:webHidden/>
          </w:rPr>
        </w:r>
        <w:r w:rsidR="00B65C5D" w:rsidRPr="00B65C5D">
          <w:rPr>
            <w:webHidden/>
          </w:rPr>
          <w:fldChar w:fldCharType="separate"/>
        </w:r>
        <w:r w:rsidR="006C7797">
          <w:rPr>
            <w:webHidden/>
          </w:rPr>
          <w:t>2</w:t>
        </w:r>
        <w:r w:rsidR="00B65C5D" w:rsidRPr="00B65C5D">
          <w:rPr>
            <w:webHidden/>
          </w:rPr>
          <w:fldChar w:fldCharType="end"/>
        </w:r>
      </w:hyperlink>
    </w:p>
    <w:p w14:paraId="2C9EF540" w14:textId="0785815F"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15" w:history="1">
        <w:r w:rsidR="00B65C5D" w:rsidRPr="00B65C5D">
          <w:rPr>
            <w:rStyle w:val="Hyperlink"/>
          </w:rPr>
          <w:t>1.2.</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rPr>
          <w:t>Mục tiêu</w:t>
        </w:r>
        <w:r w:rsidR="00B65C5D" w:rsidRPr="00B65C5D">
          <w:rPr>
            <w:webHidden/>
          </w:rPr>
          <w:tab/>
        </w:r>
        <w:r w:rsidR="00B65C5D" w:rsidRPr="00B65C5D">
          <w:rPr>
            <w:webHidden/>
          </w:rPr>
          <w:fldChar w:fldCharType="begin"/>
        </w:r>
        <w:r w:rsidR="00B65C5D" w:rsidRPr="00B65C5D">
          <w:rPr>
            <w:webHidden/>
          </w:rPr>
          <w:instrText xml:space="preserve"> PAGEREF _Toc173371015 \h </w:instrText>
        </w:r>
        <w:r w:rsidR="00B65C5D" w:rsidRPr="00B65C5D">
          <w:rPr>
            <w:webHidden/>
          </w:rPr>
        </w:r>
        <w:r w:rsidR="00B65C5D" w:rsidRPr="00B65C5D">
          <w:rPr>
            <w:webHidden/>
          </w:rPr>
          <w:fldChar w:fldCharType="separate"/>
        </w:r>
        <w:r w:rsidR="006C7797">
          <w:rPr>
            <w:webHidden/>
          </w:rPr>
          <w:t>2</w:t>
        </w:r>
        <w:r w:rsidR="00B65C5D" w:rsidRPr="00B65C5D">
          <w:rPr>
            <w:webHidden/>
          </w:rPr>
          <w:fldChar w:fldCharType="end"/>
        </w:r>
      </w:hyperlink>
    </w:p>
    <w:p w14:paraId="69336713" w14:textId="294E658D" w:rsidR="00B65C5D" w:rsidRPr="00B65C5D" w:rsidRDefault="00000000" w:rsidP="00B65C5D">
      <w:pPr>
        <w:pStyle w:val="TOC1"/>
        <w:rPr>
          <w:rFonts w:asciiTheme="minorHAnsi" w:eastAsiaTheme="minorEastAsia" w:hAnsiTheme="minorHAnsi" w:cstheme="minorBidi"/>
          <w:b w:val="0"/>
          <w:noProof/>
          <w:kern w:val="2"/>
          <w:sz w:val="26"/>
          <w:szCs w:val="26"/>
          <w:lang w:val="en-VN"/>
          <w14:ligatures w14:val="standardContextual"/>
        </w:rPr>
      </w:pPr>
      <w:hyperlink w:anchor="_Toc173371016" w:history="1">
        <w:r w:rsidR="00B65C5D" w:rsidRPr="00B65C5D">
          <w:rPr>
            <w:rStyle w:val="Hyperlink"/>
            <w:noProof/>
            <w:sz w:val="26"/>
            <w:szCs w:val="26"/>
            <w:lang w:val="vi-VN"/>
          </w:rPr>
          <w:t>2.</w:t>
        </w:r>
        <w:r w:rsidR="00B65C5D" w:rsidRPr="00B65C5D">
          <w:rPr>
            <w:rFonts w:asciiTheme="minorHAnsi" w:eastAsiaTheme="minorEastAsia" w:hAnsiTheme="minorHAnsi" w:cstheme="minorBidi"/>
            <w:b w:val="0"/>
            <w:noProof/>
            <w:kern w:val="2"/>
            <w:sz w:val="26"/>
            <w:szCs w:val="26"/>
            <w:lang w:val="en-VN"/>
            <w14:ligatures w14:val="standardContextual"/>
          </w:rPr>
          <w:tab/>
        </w:r>
        <w:r w:rsidR="00B65C5D" w:rsidRPr="00B65C5D">
          <w:rPr>
            <w:rStyle w:val="Hyperlink"/>
            <w:noProof/>
            <w:sz w:val="26"/>
            <w:szCs w:val="26"/>
          </w:rPr>
          <w:t>Đặt vấn đề</w:t>
        </w:r>
        <w:r w:rsidR="00B65C5D" w:rsidRPr="00B65C5D">
          <w:rPr>
            <w:noProof/>
            <w:webHidden/>
            <w:sz w:val="26"/>
            <w:szCs w:val="26"/>
          </w:rPr>
          <w:tab/>
        </w:r>
        <w:r w:rsidR="00B65C5D" w:rsidRPr="00B65C5D">
          <w:rPr>
            <w:noProof/>
            <w:webHidden/>
            <w:sz w:val="26"/>
            <w:szCs w:val="26"/>
          </w:rPr>
          <w:fldChar w:fldCharType="begin"/>
        </w:r>
        <w:r w:rsidR="00B65C5D" w:rsidRPr="00B65C5D">
          <w:rPr>
            <w:noProof/>
            <w:webHidden/>
            <w:sz w:val="26"/>
            <w:szCs w:val="26"/>
          </w:rPr>
          <w:instrText xml:space="preserve"> PAGEREF _Toc173371016 \h </w:instrText>
        </w:r>
        <w:r w:rsidR="00B65C5D" w:rsidRPr="00B65C5D">
          <w:rPr>
            <w:noProof/>
            <w:webHidden/>
            <w:sz w:val="26"/>
            <w:szCs w:val="26"/>
          </w:rPr>
        </w:r>
        <w:r w:rsidR="00B65C5D" w:rsidRPr="00B65C5D">
          <w:rPr>
            <w:noProof/>
            <w:webHidden/>
            <w:sz w:val="26"/>
            <w:szCs w:val="26"/>
          </w:rPr>
          <w:fldChar w:fldCharType="separate"/>
        </w:r>
        <w:r w:rsidR="006C7797">
          <w:rPr>
            <w:noProof/>
            <w:webHidden/>
            <w:sz w:val="26"/>
            <w:szCs w:val="26"/>
          </w:rPr>
          <w:t>2</w:t>
        </w:r>
        <w:r w:rsidR="00B65C5D" w:rsidRPr="00B65C5D">
          <w:rPr>
            <w:noProof/>
            <w:webHidden/>
            <w:sz w:val="26"/>
            <w:szCs w:val="26"/>
          </w:rPr>
          <w:fldChar w:fldCharType="end"/>
        </w:r>
      </w:hyperlink>
    </w:p>
    <w:p w14:paraId="74062109" w14:textId="296C0EA5" w:rsidR="00B65C5D" w:rsidRPr="00B65C5D" w:rsidRDefault="00000000" w:rsidP="00B65C5D">
      <w:pPr>
        <w:pStyle w:val="TOC1"/>
        <w:rPr>
          <w:rFonts w:asciiTheme="minorHAnsi" w:eastAsiaTheme="minorEastAsia" w:hAnsiTheme="minorHAnsi" w:cstheme="minorBidi"/>
          <w:b w:val="0"/>
          <w:noProof/>
          <w:kern w:val="2"/>
          <w:sz w:val="26"/>
          <w:szCs w:val="26"/>
          <w:lang w:val="en-VN"/>
          <w14:ligatures w14:val="standardContextual"/>
        </w:rPr>
      </w:pPr>
      <w:hyperlink w:anchor="_Toc173371017" w:history="1">
        <w:r w:rsidR="00B65C5D" w:rsidRPr="00B65C5D">
          <w:rPr>
            <w:rStyle w:val="Hyperlink"/>
            <w:noProof/>
            <w:sz w:val="26"/>
            <w:szCs w:val="26"/>
          </w:rPr>
          <w:t>3.</w:t>
        </w:r>
        <w:r w:rsidR="00B65C5D" w:rsidRPr="00B65C5D">
          <w:rPr>
            <w:rFonts w:asciiTheme="minorHAnsi" w:eastAsiaTheme="minorEastAsia" w:hAnsiTheme="minorHAnsi" w:cstheme="minorBidi"/>
            <w:b w:val="0"/>
            <w:noProof/>
            <w:kern w:val="2"/>
            <w:sz w:val="26"/>
            <w:szCs w:val="26"/>
            <w:lang w:val="en-VN"/>
            <w14:ligatures w14:val="standardContextual"/>
          </w:rPr>
          <w:tab/>
        </w:r>
        <w:r w:rsidR="00B65C5D" w:rsidRPr="00B65C5D">
          <w:rPr>
            <w:rStyle w:val="Hyperlink"/>
            <w:noProof/>
            <w:sz w:val="26"/>
            <w:szCs w:val="26"/>
          </w:rPr>
          <w:t xml:space="preserve">Tình hình chuẩn hoá </w:t>
        </w:r>
        <w:r w:rsidR="00B65C5D" w:rsidRPr="00B65C5D">
          <w:rPr>
            <w:rStyle w:val="Hyperlink"/>
            <w:noProof/>
            <w:sz w:val="26"/>
            <w:szCs w:val="26"/>
            <w:lang w:val="vi-VN"/>
          </w:rPr>
          <w:t>các chỉ số chất lượng chính (KPI) của trung tâm dữ liệu trên thế giới</w:t>
        </w:r>
        <w:r w:rsidR="00B65C5D" w:rsidRPr="00B65C5D">
          <w:rPr>
            <w:noProof/>
            <w:webHidden/>
            <w:sz w:val="26"/>
            <w:szCs w:val="26"/>
          </w:rPr>
          <w:tab/>
        </w:r>
        <w:r w:rsidR="00B65C5D" w:rsidRPr="00B65C5D">
          <w:rPr>
            <w:noProof/>
            <w:webHidden/>
            <w:sz w:val="26"/>
            <w:szCs w:val="26"/>
          </w:rPr>
          <w:fldChar w:fldCharType="begin"/>
        </w:r>
        <w:r w:rsidR="00B65C5D" w:rsidRPr="00B65C5D">
          <w:rPr>
            <w:noProof/>
            <w:webHidden/>
            <w:sz w:val="26"/>
            <w:szCs w:val="26"/>
          </w:rPr>
          <w:instrText xml:space="preserve"> PAGEREF _Toc173371017 \h </w:instrText>
        </w:r>
        <w:r w:rsidR="00B65C5D" w:rsidRPr="00B65C5D">
          <w:rPr>
            <w:noProof/>
            <w:webHidden/>
            <w:sz w:val="26"/>
            <w:szCs w:val="26"/>
          </w:rPr>
        </w:r>
        <w:r w:rsidR="00B65C5D" w:rsidRPr="00B65C5D">
          <w:rPr>
            <w:noProof/>
            <w:webHidden/>
            <w:sz w:val="26"/>
            <w:szCs w:val="26"/>
          </w:rPr>
          <w:fldChar w:fldCharType="separate"/>
        </w:r>
        <w:r w:rsidR="006C7797">
          <w:rPr>
            <w:noProof/>
            <w:webHidden/>
            <w:sz w:val="26"/>
            <w:szCs w:val="26"/>
          </w:rPr>
          <w:t>7</w:t>
        </w:r>
        <w:r w:rsidR="00B65C5D" w:rsidRPr="00B65C5D">
          <w:rPr>
            <w:noProof/>
            <w:webHidden/>
            <w:sz w:val="26"/>
            <w:szCs w:val="26"/>
          </w:rPr>
          <w:fldChar w:fldCharType="end"/>
        </w:r>
      </w:hyperlink>
    </w:p>
    <w:p w14:paraId="2A2E4E02" w14:textId="47354D55"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20" w:history="1">
        <w:r w:rsidR="00B65C5D" w:rsidRPr="00B65C5D">
          <w:rPr>
            <w:rStyle w:val="Hyperlink"/>
          </w:rPr>
          <w:t>3.1.</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C</w:t>
        </w:r>
        <w:r w:rsidR="00B65C5D" w:rsidRPr="00B65C5D">
          <w:rPr>
            <w:rStyle w:val="Hyperlink"/>
          </w:rPr>
          <w:t>ác tổ chức tiêu chuẩn hoá quốc tế</w:t>
        </w:r>
        <w:r w:rsidR="00B65C5D" w:rsidRPr="00B65C5D">
          <w:rPr>
            <w:webHidden/>
          </w:rPr>
          <w:tab/>
        </w:r>
        <w:r w:rsidR="00B65C5D" w:rsidRPr="00B65C5D">
          <w:rPr>
            <w:webHidden/>
          </w:rPr>
          <w:fldChar w:fldCharType="begin"/>
        </w:r>
        <w:r w:rsidR="00B65C5D" w:rsidRPr="00B65C5D">
          <w:rPr>
            <w:webHidden/>
          </w:rPr>
          <w:instrText xml:space="preserve"> PAGEREF _Toc173371020 \h </w:instrText>
        </w:r>
        <w:r w:rsidR="00B65C5D" w:rsidRPr="00B65C5D">
          <w:rPr>
            <w:webHidden/>
          </w:rPr>
        </w:r>
        <w:r w:rsidR="00B65C5D" w:rsidRPr="00B65C5D">
          <w:rPr>
            <w:webHidden/>
          </w:rPr>
          <w:fldChar w:fldCharType="separate"/>
        </w:r>
        <w:r w:rsidR="006C7797">
          <w:rPr>
            <w:webHidden/>
          </w:rPr>
          <w:t>7</w:t>
        </w:r>
        <w:r w:rsidR="00B65C5D" w:rsidRPr="00B65C5D">
          <w:rPr>
            <w:webHidden/>
          </w:rPr>
          <w:fldChar w:fldCharType="end"/>
        </w:r>
      </w:hyperlink>
    </w:p>
    <w:p w14:paraId="4D73603E" w14:textId="74E61D76" w:rsidR="00B65C5D" w:rsidRPr="00B65C5D" w:rsidRDefault="00000000" w:rsidP="00B65C5D">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1021" w:history="1">
        <w:r w:rsidR="00B65C5D" w:rsidRPr="00B65C5D">
          <w:rPr>
            <w:rStyle w:val="Hyperlink"/>
            <w:lang w:val="vi-VN"/>
          </w:rPr>
          <w:t>3.1.1.</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Tổ chức tiêu chuẩn ISO/IEC</w:t>
        </w:r>
        <w:r w:rsidR="00B65C5D" w:rsidRPr="00B65C5D">
          <w:rPr>
            <w:webHidden/>
          </w:rPr>
          <w:tab/>
        </w:r>
        <w:r w:rsidR="00B65C5D" w:rsidRPr="00B65C5D">
          <w:rPr>
            <w:webHidden/>
          </w:rPr>
          <w:fldChar w:fldCharType="begin"/>
        </w:r>
        <w:r w:rsidR="00B65C5D" w:rsidRPr="00B65C5D">
          <w:rPr>
            <w:webHidden/>
          </w:rPr>
          <w:instrText xml:space="preserve"> PAGEREF _Toc173371021 \h </w:instrText>
        </w:r>
        <w:r w:rsidR="00B65C5D" w:rsidRPr="00B65C5D">
          <w:rPr>
            <w:webHidden/>
          </w:rPr>
        </w:r>
        <w:r w:rsidR="00B65C5D" w:rsidRPr="00B65C5D">
          <w:rPr>
            <w:webHidden/>
          </w:rPr>
          <w:fldChar w:fldCharType="separate"/>
        </w:r>
        <w:r w:rsidR="006C7797">
          <w:rPr>
            <w:webHidden/>
          </w:rPr>
          <w:t>7</w:t>
        </w:r>
        <w:r w:rsidR="00B65C5D" w:rsidRPr="00B65C5D">
          <w:rPr>
            <w:webHidden/>
          </w:rPr>
          <w:fldChar w:fldCharType="end"/>
        </w:r>
      </w:hyperlink>
    </w:p>
    <w:p w14:paraId="5E40093B" w14:textId="51DD60F1" w:rsidR="00B65C5D" w:rsidRPr="00B65C5D" w:rsidRDefault="00000000" w:rsidP="00B65C5D">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1022" w:history="1">
        <w:r w:rsidR="00B65C5D" w:rsidRPr="00B65C5D">
          <w:rPr>
            <w:rStyle w:val="Hyperlink"/>
            <w:lang w:val="vi-VN"/>
          </w:rPr>
          <w:t>3.1.2.</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Ủy ban tiêu chuẩn châu Âu (CEN)</w:t>
        </w:r>
        <w:r w:rsidR="00B65C5D" w:rsidRPr="00B65C5D">
          <w:rPr>
            <w:webHidden/>
          </w:rPr>
          <w:tab/>
        </w:r>
        <w:r w:rsidR="00B65C5D" w:rsidRPr="00B65C5D">
          <w:rPr>
            <w:webHidden/>
          </w:rPr>
          <w:fldChar w:fldCharType="begin"/>
        </w:r>
        <w:r w:rsidR="00B65C5D" w:rsidRPr="00B65C5D">
          <w:rPr>
            <w:webHidden/>
          </w:rPr>
          <w:instrText xml:space="preserve"> PAGEREF _Toc173371022 \h </w:instrText>
        </w:r>
        <w:r w:rsidR="00B65C5D" w:rsidRPr="00B65C5D">
          <w:rPr>
            <w:webHidden/>
          </w:rPr>
        </w:r>
        <w:r w:rsidR="00B65C5D" w:rsidRPr="00B65C5D">
          <w:rPr>
            <w:webHidden/>
          </w:rPr>
          <w:fldChar w:fldCharType="separate"/>
        </w:r>
        <w:r w:rsidR="006C7797">
          <w:rPr>
            <w:webHidden/>
          </w:rPr>
          <w:t>11</w:t>
        </w:r>
        <w:r w:rsidR="00B65C5D" w:rsidRPr="00B65C5D">
          <w:rPr>
            <w:webHidden/>
          </w:rPr>
          <w:fldChar w:fldCharType="end"/>
        </w:r>
      </w:hyperlink>
    </w:p>
    <w:p w14:paraId="59AF0D0D" w14:textId="1776868C"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23" w:history="1">
        <w:r w:rsidR="00B65C5D" w:rsidRPr="00B65C5D">
          <w:rPr>
            <w:rStyle w:val="Hyperlink"/>
            <w:lang w:val="vi-VN"/>
          </w:rPr>
          <w:t>3.2.</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Các tổ chức tiêu chuẩn hoá khu vực</w:t>
        </w:r>
        <w:r w:rsidR="00B65C5D" w:rsidRPr="00B65C5D">
          <w:rPr>
            <w:webHidden/>
          </w:rPr>
          <w:tab/>
        </w:r>
        <w:r w:rsidR="00B65C5D" w:rsidRPr="00B65C5D">
          <w:rPr>
            <w:webHidden/>
          </w:rPr>
          <w:fldChar w:fldCharType="begin"/>
        </w:r>
        <w:r w:rsidR="00B65C5D" w:rsidRPr="00B65C5D">
          <w:rPr>
            <w:webHidden/>
          </w:rPr>
          <w:instrText xml:space="preserve"> PAGEREF _Toc173371023 \h </w:instrText>
        </w:r>
        <w:r w:rsidR="00B65C5D" w:rsidRPr="00B65C5D">
          <w:rPr>
            <w:webHidden/>
          </w:rPr>
        </w:r>
        <w:r w:rsidR="00B65C5D" w:rsidRPr="00B65C5D">
          <w:rPr>
            <w:webHidden/>
          </w:rPr>
          <w:fldChar w:fldCharType="separate"/>
        </w:r>
        <w:r w:rsidR="006C7797">
          <w:rPr>
            <w:webHidden/>
          </w:rPr>
          <w:t>14</w:t>
        </w:r>
        <w:r w:rsidR="00B65C5D" w:rsidRPr="00B65C5D">
          <w:rPr>
            <w:webHidden/>
          </w:rPr>
          <w:fldChar w:fldCharType="end"/>
        </w:r>
      </w:hyperlink>
    </w:p>
    <w:p w14:paraId="2B9485CA" w14:textId="5CD98468" w:rsidR="00B65C5D" w:rsidRPr="00B65C5D" w:rsidRDefault="00000000" w:rsidP="00B65C5D">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1024" w:history="1">
        <w:r w:rsidR="00B65C5D" w:rsidRPr="00B65C5D">
          <w:rPr>
            <w:rStyle w:val="Hyperlink"/>
            <w:lang w:val="vi-VN"/>
          </w:rPr>
          <w:t>3.2.1.</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 xml:space="preserve">Cục tiêu chuẩn Ấn </w:t>
        </w:r>
        <w:r w:rsidR="001118D8">
          <w:rPr>
            <w:rStyle w:val="Hyperlink"/>
            <w:lang w:val="vi-VN"/>
          </w:rPr>
          <w:t>Đ</w:t>
        </w:r>
        <w:r w:rsidR="00B65C5D" w:rsidRPr="00B65C5D">
          <w:rPr>
            <w:rStyle w:val="Hyperlink"/>
            <w:lang w:val="vi-VN"/>
          </w:rPr>
          <w:t>ộ (BIS)</w:t>
        </w:r>
        <w:r w:rsidR="00B65C5D" w:rsidRPr="00B65C5D">
          <w:rPr>
            <w:webHidden/>
          </w:rPr>
          <w:tab/>
        </w:r>
        <w:r w:rsidR="00B65C5D" w:rsidRPr="00B65C5D">
          <w:rPr>
            <w:webHidden/>
          </w:rPr>
          <w:fldChar w:fldCharType="begin"/>
        </w:r>
        <w:r w:rsidR="00B65C5D" w:rsidRPr="00B65C5D">
          <w:rPr>
            <w:webHidden/>
          </w:rPr>
          <w:instrText xml:space="preserve"> PAGEREF _Toc173371024 \h </w:instrText>
        </w:r>
        <w:r w:rsidR="00B65C5D" w:rsidRPr="00B65C5D">
          <w:rPr>
            <w:webHidden/>
          </w:rPr>
        </w:r>
        <w:r w:rsidR="00B65C5D" w:rsidRPr="00B65C5D">
          <w:rPr>
            <w:webHidden/>
          </w:rPr>
          <w:fldChar w:fldCharType="separate"/>
        </w:r>
        <w:r w:rsidR="006C7797">
          <w:rPr>
            <w:webHidden/>
          </w:rPr>
          <w:t>14</w:t>
        </w:r>
        <w:r w:rsidR="00B65C5D" w:rsidRPr="00B65C5D">
          <w:rPr>
            <w:webHidden/>
          </w:rPr>
          <w:fldChar w:fldCharType="end"/>
        </w:r>
      </w:hyperlink>
    </w:p>
    <w:p w14:paraId="7BDD5698" w14:textId="258BC3CF" w:rsidR="00B65C5D" w:rsidRPr="00B65C5D" w:rsidRDefault="00000000" w:rsidP="00B65C5D">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1025" w:history="1">
        <w:r w:rsidR="00B65C5D" w:rsidRPr="00B65C5D">
          <w:rPr>
            <w:rStyle w:val="Hyperlink"/>
            <w:lang w:val="vi-VN"/>
          </w:rPr>
          <w:t>3.2.2.</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 xml:space="preserve">Hiệp hội tiêu chuẩn </w:t>
        </w:r>
        <w:r w:rsidR="001118D8">
          <w:rPr>
            <w:rStyle w:val="Hyperlink"/>
            <w:lang w:val="vi-VN"/>
          </w:rPr>
          <w:t>C</w:t>
        </w:r>
        <w:r w:rsidR="00B65C5D" w:rsidRPr="00B65C5D">
          <w:rPr>
            <w:rStyle w:val="Hyperlink"/>
            <w:lang w:val="vi-VN"/>
          </w:rPr>
          <w:t>anada (CSA)</w:t>
        </w:r>
        <w:r w:rsidR="00B65C5D" w:rsidRPr="00B65C5D">
          <w:rPr>
            <w:webHidden/>
          </w:rPr>
          <w:tab/>
        </w:r>
        <w:r w:rsidR="00B65C5D" w:rsidRPr="00B65C5D">
          <w:rPr>
            <w:webHidden/>
          </w:rPr>
          <w:fldChar w:fldCharType="begin"/>
        </w:r>
        <w:r w:rsidR="00B65C5D" w:rsidRPr="00B65C5D">
          <w:rPr>
            <w:webHidden/>
          </w:rPr>
          <w:instrText xml:space="preserve"> PAGEREF _Toc173371025 \h </w:instrText>
        </w:r>
        <w:r w:rsidR="00B65C5D" w:rsidRPr="00B65C5D">
          <w:rPr>
            <w:webHidden/>
          </w:rPr>
        </w:r>
        <w:r w:rsidR="00B65C5D" w:rsidRPr="00B65C5D">
          <w:rPr>
            <w:webHidden/>
          </w:rPr>
          <w:fldChar w:fldCharType="separate"/>
        </w:r>
        <w:r w:rsidR="006C7797">
          <w:rPr>
            <w:webHidden/>
          </w:rPr>
          <w:t>14</w:t>
        </w:r>
        <w:r w:rsidR="00B65C5D" w:rsidRPr="00B65C5D">
          <w:rPr>
            <w:webHidden/>
          </w:rPr>
          <w:fldChar w:fldCharType="end"/>
        </w:r>
      </w:hyperlink>
    </w:p>
    <w:p w14:paraId="754FF89B" w14:textId="1EAF8A26" w:rsidR="00B65C5D" w:rsidRPr="00B65C5D" w:rsidRDefault="00000000" w:rsidP="00B65C5D">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1026" w:history="1">
        <w:r w:rsidR="00B65C5D" w:rsidRPr="00B65C5D">
          <w:rPr>
            <w:rStyle w:val="Hyperlink"/>
            <w:lang w:val="vi-VN"/>
          </w:rPr>
          <w:t>3.2.3.</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Cơ quan tiêu chuẩn quốc gia Vương quốc Anh (BSI)</w:t>
        </w:r>
        <w:r w:rsidR="00B65C5D" w:rsidRPr="00B65C5D">
          <w:rPr>
            <w:webHidden/>
          </w:rPr>
          <w:tab/>
        </w:r>
        <w:r w:rsidR="00B65C5D" w:rsidRPr="00B65C5D">
          <w:rPr>
            <w:webHidden/>
          </w:rPr>
          <w:fldChar w:fldCharType="begin"/>
        </w:r>
        <w:r w:rsidR="00B65C5D" w:rsidRPr="00B65C5D">
          <w:rPr>
            <w:webHidden/>
          </w:rPr>
          <w:instrText xml:space="preserve"> PAGEREF _Toc173371026 \h </w:instrText>
        </w:r>
        <w:r w:rsidR="00B65C5D" w:rsidRPr="00B65C5D">
          <w:rPr>
            <w:webHidden/>
          </w:rPr>
        </w:r>
        <w:r w:rsidR="00B65C5D" w:rsidRPr="00B65C5D">
          <w:rPr>
            <w:webHidden/>
          </w:rPr>
          <w:fldChar w:fldCharType="separate"/>
        </w:r>
        <w:r w:rsidR="006C7797">
          <w:rPr>
            <w:webHidden/>
          </w:rPr>
          <w:t>15</w:t>
        </w:r>
        <w:r w:rsidR="00B65C5D" w:rsidRPr="00B65C5D">
          <w:rPr>
            <w:webHidden/>
          </w:rPr>
          <w:fldChar w:fldCharType="end"/>
        </w:r>
      </w:hyperlink>
    </w:p>
    <w:p w14:paraId="18014806" w14:textId="5775ED68"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27" w:history="1">
        <w:r w:rsidR="00B65C5D" w:rsidRPr="00B65C5D">
          <w:rPr>
            <w:rStyle w:val="Hyperlink"/>
            <w:lang w:val="vi-VN"/>
          </w:rPr>
          <w:t>3.3.</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Nhận xét chung</w:t>
        </w:r>
        <w:r w:rsidR="00B65C5D" w:rsidRPr="00B65C5D">
          <w:rPr>
            <w:webHidden/>
          </w:rPr>
          <w:tab/>
        </w:r>
        <w:r w:rsidR="00B65C5D" w:rsidRPr="00B65C5D">
          <w:rPr>
            <w:webHidden/>
          </w:rPr>
          <w:fldChar w:fldCharType="begin"/>
        </w:r>
        <w:r w:rsidR="00B65C5D" w:rsidRPr="00B65C5D">
          <w:rPr>
            <w:webHidden/>
          </w:rPr>
          <w:instrText xml:space="preserve"> PAGEREF _Toc173371027 \h </w:instrText>
        </w:r>
        <w:r w:rsidR="00B65C5D" w:rsidRPr="00B65C5D">
          <w:rPr>
            <w:webHidden/>
          </w:rPr>
        </w:r>
        <w:r w:rsidR="00B65C5D" w:rsidRPr="00B65C5D">
          <w:rPr>
            <w:webHidden/>
          </w:rPr>
          <w:fldChar w:fldCharType="separate"/>
        </w:r>
        <w:r w:rsidR="006C7797">
          <w:rPr>
            <w:webHidden/>
          </w:rPr>
          <w:t>15</w:t>
        </w:r>
        <w:r w:rsidR="00B65C5D" w:rsidRPr="00B65C5D">
          <w:rPr>
            <w:webHidden/>
          </w:rPr>
          <w:fldChar w:fldCharType="end"/>
        </w:r>
      </w:hyperlink>
    </w:p>
    <w:p w14:paraId="0434CF72" w14:textId="3D323A09" w:rsidR="00B65C5D" w:rsidRPr="00B65C5D" w:rsidRDefault="00000000" w:rsidP="00B65C5D">
      <w:pPr>
        <w:pStyle w:val="TOC1"/>
        <w:rPr>
          <w:rFonts w:asciiTheme="minorHAnsi" w:eastAsiaTheme="minorEastAsia" w:hAnsiTheme="minorHAnsi" w:cstheme="minorBidi"/>
          <w:b w:val="0"/>
          <w:noProof/>
          <w:kern w:val="2"/>
          <w:sz w:val="26"/>
          <w:szCs w:val="26"/>
          <w:lang w:val="en-VN"/>
          <w14:ligatures w14:val="standardContextual"/>
        </w:rPr>
      </w:pPr>
      <w:hyperlink w:anchor="_Toc173371028" w:history="1">
        <w:r w:rsidR="00B65C5D" w:rsidRPr="00B65C5D">
          <w:rPr>
            <w:rStyle w:val="Hyperlink"/>
            <w:noProof/>
            <w:sz w:val="26"/>
            <w:szCs w:val="26"/>
          </w:rPr>
          <w:t>4.</w:t>
        </w:r>
        <w:r w:rsidR="00B65C5D" w:rsidRPr="00B65C5D">
          <w:rPr>
            <w:rFonts w:asciiTheme="minorHAnsi" w:eastAsiaTheme="minorEastAsia" w:hAnsiTheme="minorHAnsi" w:cstheme="minorBidi"/>
            <w:b w:val="0"/>
            <w:noProof/>
            <w:kern w:val="2"/>
            <w:sz w:val="26"/>
            <w:szCs w:val="26"/>
            <w:lang w:val="en-VN"/>
            <w14:ligatures w14:val="standardContextual"/>
          </w:rPr>
          <w:tab/>
        </w:r>
        <w:r w:rsidR="00B65C5D" w:rsidRPr="00B65C5D">
          <w:rPr>
            <w:rStyle w:val="Hyperlink"/>
            <w:noProof/>
            <w:sz w:val="26"/>
            <w:szCs w:val="26"/>
          </w:rPr>
          <w:t xml:space="preserve">Tình hình chuẩn hoá </w:t>
        </w:r>
        <w:r w:rsidR="00B65C5D" w:rsidRPr="00B65C5D">
          <w:rPr>
            <w:rStyle w:val="Hyperlink"/>
            <w:noProof/>
            <w:sz w:val="26"/>
            <w:szCs w:val="26"/>
            <w:lang w:val="vi-VN"/>
          </w:rPr>
          <w:t>chỉ số hiệu suất sử dụng điện PUE của trung tâm dữ liệu</w:t>
        </w:r>
        <w:r w:rsidR="00B65C5D">
          <w:rPr>
            <w:rStyle w:val="Hyperlink"/>
            <w:noProof/>
            <w:sz w:val="26"/>
            <w:szCs w:val="26"/>
            <w:lang w:val="vi-VN"/>
          </w:rPr>
          <w:t xml:space="preserve"> …..</w:t>
        </w:r>
        <w:r w:rsidR="00B65C5D" w:rsidRPr="00B65C5D">
          <w:rPr>
            <w:noProof/>
            <w:webHidden/>
            <w:sz w:val="26"/>
            <w:szCs w:val="26"/>
          </w:rPr>
          <w:tab/>
        </w:r>
        <w:r w:rsidR="00B65C5D" w:rsidRPr="00B65C5D">
          <w:rPr>
            <w:noProof/>
            <w:webHidden/>
            <w:sz w:val="26"/>
            <w:szCs w:val="26"/>
          </w:rPr>
          <w:fldChar w:fldCharType="begin"/>
        </w:r>
        <w:r w:rsidR="00B65C5D" w:rsidRPr="00B65C5D">
          <w:rPr>
            <w:noProof/>
            <w:webHidden/>
            <w:sz w:val="26"/>
            <w:szCs w:val="26"/>
          </w:rPr>
          <w:instrText xml:space="preserve"> PAGEREF _Toc173371028 \h </w:instrText>
        </w:r>
        <w:r w:rsidR="00B65C5D" w:rsidRPr="00B65C5D">
          <w:rPr>
            <w:noProof/>
            <w:webHidden/>
            <w:sz w:val="26"/>
            <w:szCs w:val="26"/>
          </w:rPr>
        </w:r>
        <w:r w:rsidR="00B65C5D" w:rsidRPr="00B65C5D">
          <w:rPr>
            <w:noProof/>
            <w:webHidden/>
            <w:sz w:val="26"/>
            <w:szCs w:val="26"/>
          </w:rPr>
          <w:fldChar w:fldCharType="separate"/>
        </w:r>
        <w:r w:rsidR="006C7797">
          <w:rPr>
            <w:noProof/>
            <w:webHidden/>
            <w:sz w:val="26"/>
            <w:szCs w:val="26"/>
          </w:rPr>
          <w:t>16</w:t>
        </w:r>
        <w:r w:rsidR="00B65C5D" w:rsidRPr="00B65C5D">
          <w:rPr>
            <w:noProof/>
            <w:webHidden/>
            <w:sz w:val="26"/>
            <w:szCs w:val="26"/>
          </w:rPr>
          <w:fldChar w:fldCharType="end"/>
        </w:r>
      </w:hyperlink>
    </w:p>
    <w:p w14:paraId="790703E7" w14:textId="71551D1E" w:rsidR="00B65C5D" w:rsidRPr="00B65C5D" w:rsidRDefault="00000000" w:rsidP="00B65C5D">
      <w:pPr>
        <w:pStyle w:val="TOC1"/>
        <w:rPr>
          <w:rFonts w:asciiTheme="minorHAnsi" w:eastAsiaTheme="minorEastAsia" w:hAnsiTheme="minorHAnsi" w:cstheme="minorBidi"/>
          <w:b w:val="0"/>
          <w:noProof/>
          <w:kern w:val="2"/>
          <w:sz w:val="26"/>
          <w:szCs w:val="26"/>
          <w:lang w:val="en-VN"/>
          <w14:ligatures w14:val="standardContextual"/>
        </w:rPr>
      </w:pPr>
      <w:hyperlink w:anchor="_Toc173371029" w:history="1">
        <w:r w:rsidR="00B65C5D" w:rsidRPr="00B65C5D">
          <w:rPr>
            <w:rStyle w:val="Hyperlink"/>
            <w:noProof/>
            <w:sz w:val="26"/>
            <w:szCs w:val="26"/>
            <w:lang w:val="vi-VN"/>
          </w:rPr>
          <w:t>5.</w:t>
        </w:r>
        <w:r w:rsidR="00B65C5D" w:rsidRPr="00B65C5D">
          <w:rPr>
            <w:rFonts w:asciiTheme="minorHAnsi" w:eastAsiaTheme="minorEastAsia" w:hAnsiTheme="minorHAnsi" w:cstheme="minorBidi"/>
            <w:b w:val="0"/>
            <w:noProof/>
            <w:kern w:val="2"/>
            <w:sz w:val="26"/>
            <w:szCs w:val="26"/>
            <w:lang w:val="en-VN"/>
            <w14:ligatures w14:val="standardContextual"/>
          </w:rPr>
          <w:tab/>
        </w:r>
        <w:r w:rsidR="00B65C5D" w:rsidRPr="00B65C5D">
          <w:rPr>
            <w:rStyle w:val="Hyperlink"/>
            <w:noProof/>
            <w:sz w:val="26"/>
            <w:szCs w:val="26"/>
          </w:rPr>
          <w:t xml:space="preserve">Tình hình chuẩn hoá </w:t>
        </w:r>
        <w:r w:rsidR="00B65C5D" w:rsidRPr="00B65C5D">
          <w:rPr>
            <w:rStyle w:val="Hyperlink"/>
            <w:noProof/>
            <w:sz w:val="26"/>
            <w:szCs w:val="26"/>
            <w:lang w:val="vi-VN"/>
          </w:rPr>
          <w:t>chỉ số hiệu suất sử dụng điện PUE của trung tâm dữ liệu tại Việt Nam</w:t>
        </w:r>
        <w:r w:rsidR="00B65C5D" w:rsidRPr="00B65C5D">
          <w:rPr>
            <w:noProof/>
            <w:webHidden/>
            <w:sz w:val="26"/>
            <w:szCs w:val="26"/>
          </w:rPr>
          <w:tab/>
        </w:r>
        <w:r w:rsidR="00B65C5D" w:rsidRPr="00B65C5D">
          <w:rPr>
            <w:noProof/>
            <w:webHidden/>
            <w:sz w:val="26"/>
            <w:szCs w:val="26"/>
          </w:rPr>
          <w:fldChar w:fldCharType="begin"/>
        </w:r>
        <w:r w:rsidR="00B65C5D" w:rsidRPr="00B65C5D">
          <w:rPr>
            <w:noProof/>
            <w:webHidden/>
            <w:sz w:val="26"/>
            <w:szCs w:val="26"/>
          </w:rPr>
          <w:instrText xml:space="preserve"> PAGEREF _Toc173371029 \h </w:instrText>
        </w:r>
        <w:r w:rsidR="00B65C5D" w:rsidRPr="00B65C5D">
          <w:rPr>
            <w:noProof/>
            <w:webHidden/>
            <w:sz w:val="26"/>
            <w:szCs w:val="26"/>
          </w:rPr>
        </w:r>
        <w:r w:rsidR="00B65C5D" w:rsidRPr="00B65C5D">
          <w:rPr>
            <w:noProof/>
            <w:webHidden/>
            <w:sz w:val="26"/>
            <w:szCs w:val="26"/>
          </w:rPr>
          <w:fldChar w:fldCharType="separate"/>
        </w:r>
        <w:r w:rsidR="006C7797">
          <w:rPr>
            <w:noProof/>
            <w:webHidden/>
            <w:sz w:val="26"/>
            <w:szCs w:val="26"/>
          </w:rPr>
          <w:t>17</w:t>
        </w:r>
        <w:r w:rsidR="00B65C5D" w:rsidRPr="00B65C5D">
          <w:rPr>
            <w:noProof/>
            <w:webHidden/>
            <w:sz w:val="26"/>
            <w:szCs w:val="26"/>
          </w:rPr>
          <w:fldChar w:fldCharType="end"/>
        </w:r>
      </w:hyperlink>
    </w:p>
    <w:p w14:paraId="1D2DBDAA" w14:textId="7DB9683E" w:rsidR="00B65C5D" w:rsidRPr="00B65C5D" w:rsidRDefault="00000000" w:rsidP="00B65C5D">
      <w:pPr>
        <w:pStyle w:val="TOC1"/>
        <w:rPr>
          <w:rFonts w:asciiTheme="minorHAnsi" w:eastAsiaTheme="minorEastAsia" w:hAnsiTheme="minorHAnsi" w:cstheme="minorBidi"/>
          <w:b w:val="0"/>
          <w:noProof/>
          <w:kern w:val="2"/>
          <w:sz w:val="26"/>
          <w:szCs w:val="26"/>
          <w:lang w:val="en-VN"/>
          <w14:ligatures w14:val="standardContextual"/>
        </w:rPr>
      </w:pPr>
      <w:hyperlink w:anchor="_Toc173371030" w:history="1">
        <w:r w:rsidR="00B65C5D" w:rsidRPr="00B65C5D">
          <w:rPr>
            <w:rStyle w:val="Hyperlink"/>
            <w:noProof/>
            <w:sz w:val="26"/>
            <w:szCs w:val="26"/>
          </w:rPr>
          <w:t>6.</w:t>
        </w:r>
        <w:r w:rsidR="00B65C5D" w:rsidRPr="00B65C5D">
          <w:rPr>
            <w:rFonts w:asciiTheme="minorHAnsi" w:eastAsiaTheme="minorEastAsia" w:hAnsiTheme="minorHAnsi" w:cstheme="minorBidi"/>
            <w:b w:val="0"/>
            <w:noProof/>
            <w:kern w:val="2"/>
            <w:sz w:val="26"/>
            <w:szCs w:val="26"/>
            <w:lang w:val="en-VN"/>
            <w14:ligatures w14:val="standardContextual"/>
          </w:rPr>
          <w:tab/>
        </w:r>
        <w:r w:rsidR="00B65C5D" w:rsidRPr="00B65C5D">
          <w:rPr>
            <w:rStyle w:val="Hyperlink"/>
            <w:noProof/>
            <w:sz w:val="26"/>
            <w:szCs w:val="26"/>
          </w:rPr>
          <w:t>Xây dựng Tiêu</w:t>
        </w:r>
        <w:r w:rsidR="00B65C5D" w:rsidRPr="00B65C5D">
          <w:rPr>
            <w:rStyle w:val="Hyperlink"/>
            <w:noProof/>
            <w:sz w:val="26"/>
            <w:szCs w:val="26"/>
            <w:lang w:val="vi-VN"/>
          </w:rPr>
          <w:t xml:space="preserve"> chuẩn</w:t>
        </w:r>
        <w:r w:rsidR="00B65C5D" w:rsidRPr="00B65C5D">
          <w:rPr>
            <w:rStyle w:val="Hyperlink"/>
            <w:noProof/>
            <w:sz w:val="26"/>
            <w:szCs w:val="26"/>
          </w:rPr>
          <w:t xml:space="preserve"> quốc gia về công</w:t>
        </w:r>
        <w:r w:rsidR="00B65C5D" w:rsidRPr="00B65C5D">
          <w:rPr>
            <w:rStyle w:val="Hyperlink"/>
            <w:noProof/>
            <w:sz w:val="26"/>
            <w:szCs w:val="26"/>
            <w:lang w:val="vi-VN"/>
          </w:rPr>
          <w:t xml:space="preserve"> nghệ thông tin – </w:t>
        </w:r>
        <w:r w:rsidR="00901B21">
          <w:rPr>
            <w:rStyle w:val="Hyperlink"/>
            <w:noProof/>
            <w:sz w:val="26"/>
            <w:szCs w:val="26"/>
            <w:lang w:val="vi-VN"/>
          </w:rPr>
          <w:t>Chỉ số chất lượng</w:t>
        </w:r>
        <w:r w:rsidR="00B65C5D" w:rsidRPr="00B65C5D">
          <w:rPr>
            <w:rStyle w:val="Hyperlink"/>
            <w:noProof/>
            <w:sz w:val="26"/>
            <w:szCs w:val="26"/>
            <w:lang w:val="vi-VN"/>
          </w:rPr>
          <w:t xml:space="preserve"> chính – Phần 2: Hiệu suất sử dụng điện (PUE)</w:t>
        </w:r>
        <w:r w:rsidR="00B65C5D" w:rsidRPr="00B65C5D">
          <w:rPr>
            <w:noProof/>
            <w:webHidden/>
            <w:sz w:val="26"/>
            <w:szCs w:val="26"/>
          </w:rPr>
          <w:tab/>
        </w:r>
        <w:r w:rsidR="00B65C5D" w:rsidRPr="00B65C5D">
          <w:rPr>
            <w:noProof/>
            <w:webHidden/>
            <w:sz w:val="26"/>
            <w:szCs w:val="26"/>
          </w:rPr>
          <w:fldChar w:fldCharType="begin"/>
        </w:r>
        <w:r w:rsidR="00B65C5D" w:rsidRPr="00B65C5D">
          <w:rPr>
            <w:noProof/>
            <w:webHidden/>
            <w:sz w:val="26"/>
            <w:szCs w:val="26"/>
          </w:rPr>
          <w:instrText xml:space="preserve"> PAGEREF _Toc173371030 \h </w:instrText>
        </w:r>
        <w:r w:rsidR="00B65C5D" w:rsidRPr="00B65C5D">
          <w:rPr>
            <w:noProof/>
            <w:webHidden/>
            <w:sz w:val="26"/>
            <w:szCs w:val="26"/>
          </w:rPr>
        </w:r>
        <w:r w:rsidR="00B65C5D" w:rsidRPr="00B65C5D">
          <w:rPr>
            <w:noProof/>
            <w:webHidden/>
            <w:sz w:val="26"/>
            <w:szCs w:val="26"/>
          </w:rPr>
          <w:fldChar w:fldCharType="separate"/>
        </w:r>
        <w:r w:rsidR="006C7797">
          <w:rPr>
            <w:noProof/>
            <w:webHidden/>
            <w:sz w:val="26"/>
            <w:szCs w:val="26"/>
          </w:rPr>
          <w:t>23</w:t>
        </w:r>
        <w:r w:rsidR="00B65C5D" w:rsidRPr="00B65C5D">
          <w:rPr>
            <w:noProof/>
            <w:webHidden/>
            <w:sz w:val="26"/>
            <w:szCs w:val="26"/>
          </w:rPr>
          <w:fldChar w:fldCharType="end"/>
        </w:r>
      </w:hyperlink>
    </w:p>
    <w:p w14:paraId="7ED1E943" w14:textId="6FCF2FCD"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31" w:history="1">
        <w:r w:rsidR="00B65C5D" w:rsidRPr="00B65C5D">
          <w:rPr>
            <w:rStyle w:val="Hyperlink"/>
            <w:lang w:val="vi-VN"/>
          </w:rPr>
          <w:t>6.1.</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lang w:val="vi-VN"/>
          </w:rPr>
          <w:t>Lựa chọn tài liệu tham khảo</w:t>
        </w:r>
        <w:r w:rsidR="00B65C5D" w:rsidRPr="00B65C5D">
          <w:rPr>
            <w:webHidden/>
          </w:rPr>
          <w:tab/>
        </w:r>
        <w:r w:rsidR="00B65C5D" w:rsidRPr="00B65C5D">
          <w:rPr>
            <w:webHidden/>
          </w:rPr>
          <w:fldChar w:fldCharType="begin"/>
        </w:r>
        <w:r w:rsidR="00B65C5D" w:rsidRPr="00B65C5D">
          <w:rPr>
            <w:webHidden/>
          </w:rPr>
          <w:instrText xml:space="preserve"> PAGEREF _Toc173371031 \h </w:instrText>
        </w:r>
        <w:r w:rsidR="00B65C5D" w:rsidRPr="00B65C5D">
          <w:rPr>
            <w:webHidden/>
          </w:rPr>
        </w:r>
        <w:r w:rsidR="00B65C5D" w:rsidRPr="00B65C5D">
          <w:rPr>
            <w:webHidden/>
          </w:rPr>
          <w:fldChar w:fldCharType="separate"/>
        </w:r>
        <w:r w:rsidR="006C7797">
          <w:rPr>
            <w:webHidden/>
          </w:rPr>
          <w:t>23</w:t>
        </w:r>
        <w:r w:rsidR="00B65C5D" w:rsidRPr="00B65C5D">
          <w:rPr>
            <w:webHidden/>
          </w:rPr>
          <w:fldChar w:fldCharType="end"/>
        </w:r>
      </w:hyperlink>
    </w:p>
    <w:p w14:paraId="55EEAC9E" w14:textId="481C18FE"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32" w:history="1">
        <w:r w:rsidR="00B65C5D" w:rsidRPr="00B65C5D">
          <w:rPr>
            <w:rStyle w:val="Hyperlink"/>
          </w:rPr>
          <w:t>6.2.</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rPr>
          <w:t>Cách thức xây dựng</w:t>
        </w:r>
        <w:r w:rsidR="00B65C5D" w:rsidRPr="00B65C5D">
          <w:rPr>
            <w:webHidden/>
          </w:rPr>
          <w:tab/>
        </w:r>
        <w:r w:rsidR="00B65C5D" w:rsidRPr="00B65C5D">
          <w:rPr>
            <w:webHidden/>
          </w:rPr>
          <w:fldChar w:fldCharType="begin"/>
        </w:r>
        <w:r w:rsidR="00B65C5D" w:rsidRPr="00B65C5D">
          <w:rPr>
            <w:webHidden/>
          </w:rPr>
          <w:instrText xml:space="preserve"> PAGEREF _Toc173371032 \h </w:instrText>
        </w:r>
        <w:r w:rsidR="00B65C5D" w:rsidRPr="00B65C5D">
          <w:rPr>
            <w:webHidden/>
          </w:rPr>
        </w:r>
        <w:r w:rsidR="00B65C5D" w:rsidRPr="00B65C5D">
          <w:rPr>
            <w:webHidden/>
          </w:rPr>
          <w:fldChar w:fldCharType="separate"/>
        </w:r>
        <w:r w:rsidR="006C7797">
          <w:rPr>
            <w:webHidden/>
          </w:rPr>
          <w:t>24</w:t>
        </w:r>
        <w:r w:rsidR="00B65C5D" w:rsidRPr="00B65C5D">
          <w:rPr>
            <w:webHidden/>
          </w:rPr>
          <w:fldChar w:fldCharType="end"/>
        </w:r>
      </w:hyperlink>
    </w:p>
    <w:p w14:paraId="40611E36" w14:textId="506634F2"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33" w:history="1">
        <w:r w:rsidR="00B65C5D" w:rsidRPr="00B65C5D">
          <w:rPr>
            <w:rStyle w:val="Hyperlink"/>
          </w:rPr>
          <w:t>6.3.</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rPr>
          <w:t>Về hình thức trình bày</w:t>
        </w:r>
        <w:r w:rsidR="00B65C5D" w:rsidRPr="00B65C5D">
          <w:rPr>
            <w:webHidden/>
          </w:rPr>
          <w:tab/>
        </w:r>
        <w:r w:rsidR="00B65C5D" w:rsidRPr="00B65C5D">
          <w:rPr>
            <w:webHidden/>
          </w:rPr>
          <w:fldChar w:fldCharType="begin"/>
        </w:r>
        <w:r w:rsidR="00B65C5D" w:rsidRPr="00B65C5D">
          <w:rPr>
            <w:webHidden/>
          </w:rPr>
          <w:instrText xml:space="preserve"> PAGEREF _Toc173371033 \h </w:instrText>
        </w:r>
        <w:r w:rsidR="00B65C5D" w:rsidRPr="00B65C5D">
          <w:rPr>
            <w:webHidden/>
          </w:rPr>
        </w:r>
        <w:r w:rsidR="00B65C5D" w:rsidRPr="00B65C5D">
          <w:rPr>
            <w:webHidden/>
          </w:rPr>
          <w:fldChar w:fldCharType="separate"/>
        </w:r>
        <w:r w:rsidR="006C7797">
          <w:rPr>
            <w:webHidden/>
          </w:rPr>
          <w:t>24</w:t>
        </w:r>
        <w:r w:rsidR="00B65C5D" w:rsidRPr="00B65C5D">
          <w:rPr>
            <w:webHidden/>
          </w:rPr>
          <w:fldChar w:fldCharType="end"/>
        </w:r>
      </w:hyperlink>
    </w:p>
    <w:p w14:paraId="68D0DE46" w14:textId="28BE0618"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34" w:history="1">
        <w:r w:rsidR="00B65C5D" w:rsidRPr="00B65C5D">
          <w:rPr>
            <w:rStyle w:val="Hyperlink"/>
          </w:rPr>
          <w:t>6.4.</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rPr>
          <w:t>Tên dự thảo</w:t>
        </w:r>
        <w:r w:rsidR="00B65C5D" w:rsidRPr="00B65C5D">
          <w:rPr>
            <w:rStyle w:val="Hyperlink"/>
            <w:lang w:val="vi-VN"/>
          </w:rPr>
          <w:t xml:space="preserve"> tiêu</w:t>
        </w:r>
        <w:r w:rsidR="00B65C5D" w:rsidRPr="00B65C5D">
          <w:rPr>
            <w:rStyle w:val="Hyperlink"/>
          </w:rPr>
          <w:t xml:space="preserve"> chuẩn</w:t>
        </w:r>
        <w:r w:rsidR="00B65C5D" w:rsidRPr="00B65C5D">
          <w:rPr>
            <w:webHidden/>
          </w:rPr>
          <w:tab/>
        </w:r>
        <w:r w:rsidR="00B65C5D" w:rsidRPr="00B65C5D">
          <w:rPr>
            <w:webHidden/>
          </w:rPr>
          <w:fldChar w:fldCharType="begin"/>
        </w:r>
        <w:r w:rsidR="00B65C5D" w:rsidRPr="00B65C5D">
          <w:rPr>
            <w:webHidden/>
          </w:rPr>
          <w:instrText xml:space="preserve"> PAGEREF _Toc173371034 \h </w:instrText>
        </w:r>
        <w:r w:rsidR="00B65C5D" w:rsidRPr="00B65C5D">
          <w:rPr>
            <w:webHidden/>
          </w:rPr>
        </w:r>
        <w:r w:rsidR="00B65C5D" w:rsidRPr="00B65C5D">
          <w:rPr>
            <w:webHidden/>
          </w:rPr>
          <w:fldChar w:fldCharType="separate"/>
        </w:r>
        <w:r w:rsidR="006C7797">
          <w:rPr>
            <w:webHidden/>
          </w:rPr>
          <w:t>24</w:t>
        </w:r>
        <w:r w:rsidR="00B65C5D" w:rsidRPr="00B65C5D">
          <w:rPr>
            <w:webHidden/>
          </w:rPr>
          <w:fldChar w:fldCharType="end"/>
        </w:r>
      </w:hyperlink>
    </w:p>
    <w:p w14:paraId="2FEC0969" w14:textId="21832CD1" w:rsidR="00B65C5D" w:rsidRPr="00B65C5D" w:rsidRDefault="00000000" w:rsidP="00B65C5D">
      <w:pPr>
        <w:pStyle w:val="TOC2"/>
        <w:rPr>
          <w:rFonts w:asciiTheme="minorHAnsi" w:eastAsiaTheme="minorEastAsia" w:hAnsiTheme="minorHAnsi" w:cstheme="minorBidi"/>
          <w:color w:val="auto"/>
          <w:kern w:val="2"/>
          <w:lang w:val="en-VN"/>
          <w14:ligatures w14:val="standardContextual"/>
        </w:rPr>
      </w:pPr>
      <w:hyperlink w:anchor="_Toc173371035" w:history="1">
        <w:r w:rsidR="00B65C5D" w:rsidRPr="00B65C5D">
          <w:rPr>
            <w:rStyle w:val="Hyperlink"/>
          </w:rPr>
          <w:t>6.5.</w:t>
        </w:r>
        <w:r w:rsidR="00B65C5D" w:rsidRPr="00B65C5D">
          <w:rPr>
            <w:rFonts w:asciiTheme="minorHAnsi" w:eastAsiaTheme="minorEastAsia" w:hAnsiTheme="minorHAnsi" w:cstheme="minorBidi"/>
            <w:color w:val="auto"/>
            <w:kern w:val="2"/>
            <w:lang w:val="en-VN"/>
            <w14:ligatures w14:val="standardContextual"/>
          </w:rPr>
          <w:tab/>
        </w:r>
        <w:r w:rsidR="00B65C5D" w:rsidRPr="00B65C5D">
          <w:rPr>
            <w:rStyle w:val="Hyperlink"/>
          </w:rPr>
          <w:t xml:space="preserve">Nội dung dự thảo </w:t>
        </w:r>
        <w:r w:rsidR="00B65C5D" w:rsidRPr="00B65C5D">
          <w:rPr>
            <w:rStyle w:val="Hyperlink"/>
            <w:lang w:val="vi-VN"/>
          </w:rPr>
          <w:t>tiêu chuẩn</w:t>
        </w:r>
        <w:r w:rsidR="00B65C5D" w:rsidRPr="00B65C5D">
          <w:rPr>
            <w:webHidden/>
          </w:rPr>
          <w:tab/>
        </w:r>
        <w:r w:rsidR="00B65C5D" w:rsidRPr="00B65C5D">
          <w:rPr>
            <w:webHidden/>
          </w:rPr>
          <w:fldChar w:fldCharType="begin"/>
        </w:r>
        <w:r w:rsidR="00B65C5D" w:rsidRPr="00B65C5D">
          <w:rPr>
            <w:webHidden/>
          </w:rPr>
          <w:instrText xml:space="preserve"> PAGEREF _Toc173371035 \h </w:instrText>
        </w:r>
        <w:r w:rsidR="00B65C5D" w:rsidRPr="00B65C5D">
          <w:rPr>
            <w:webHidden/>
          </w:rPr>
        </w:r>
        <w:r w:rsidR="00B65C5D" w:rsidRPr="00B65C5D">
          <w:rPr>
            <w:webHidden/>
          </w:rPr>
          <w:fldChar w:fldCharType="separate"/>
        </w:r>
        <w:r w:rsidR="006C7797">
          <w:rPr>
            <w:webHidden/>
          </w:rPr>
          <w:t>24</w:t>
        </w:r>
        <w:r w:rsidR="00B65C5D" w:rsidRPr="00B65C5D">
          <w:rPr>
            <w:webHidden/>
          </w:rPr>
          <w:fldChar w:fldCharType="end"/>
        </w:r>
      </w:hyperlink>
    </w:p>
    <w:p w14:paraId="0D31BCCA" w14:textId="7E0121B5" w:rsidR="00B65C5D" w:rsidRPr="00B65C5D" w:rsidRDefault="00000000" w:rsidP="00B65C5D">
      <w:pPr>
        <w:pStyle w:val="TOC1"/>
        <w:rPr>
          <w:rFonts w:asciiTheme="minorHAnsi" w:eastAsiaTheme="minorEastAsia" w:hAnsiTheme="minorHAnsi" w:cstheme="minorBidi"/>
          <w:b w:val="0"/>
          <w:noProof/>
          <w:kern w:val="2"/>
          <w:sz w:val="26"/>
          <w:szCs w:val="26"/>
          <w:lang w:val="en-VN"/>
          <w14:ligatures w14:val="standardContextual"/>
        </w:rPr>
      </w:pPr>
      <w:hyperlink w:anchor="_Toc173371036" w:history="1">
        <w:r w:rsidR="00B65C5D" w:rsidRPr="00B65C5D">
          <w:rPr>
            <w:rStyle w:val="Hyperlink"/>
            <w:noProof/>
            <w:sz w:val="26"/>
            <w:szCs w:val="26"/>
          </w:rPr>
          <w:t>TÀI LIỆU THAM KHẢO</w:t>
        </w:r>
        <w:r w:rsidR="00B65C5D" w:rsidRPr="00B65C5D">
          <w:rPr>
            <w:noProof/>
            <w:webHidden/>
            <w:sz w:val="26"/>
            <w:szCs w:val="26"/>
          </w:rPr>
          <w:tab/>
        </w:r>
        <w:r w:rsidR="00B65C5D" w:rsidRPr="00B65C5D">
          <w:rPr>
            <w:noProof/>
            <w:webHidden/>
            <w:sz w:val="26"/>
            <w:szCs w:val="26"/>
          </w:rPr>
          <w:fldChar w:fldCharType="begin"/>
        </w:r>
        <w:r w:rsidR="00B65C5D" w:rsidRPr="00B65C5D">
          <w:rPr>
            <w:noProof/>
            <w:webHidden/>
            <w:sz w:val="26"/>
            <w:szCs w:val="26"/>
          </w:rPr>
          <w:instrText xml:space="preserve"> PAGEREF _Toc173371036 \h </w:instrText>
        </w:r>
        <w:r w:rsidR="00B65C5D" w:rsidRPr="00B65C5D">
          <w:rPr>
            <w:noProof/>
            <w:webHidden/>
            <w:sz w:val="26"/>
            <w:szCs w:val="26"/>
          </w:rPr>
        </w:r>
        <w:r w:rsidR="00B65C5D" w:rsidRPr="00B65C5D">
          <w:rPr>
            <w:noProof/>
            <w:webHidden/>
            <w:sz w:val="26"/>
            <w:szCs w:val="26"/>
          </w:rPr>
          <w:fldChar w:fldCharType="separate"/>
        </w:r>
        <w:r w:rsidR="006C7797">
          <w:rPr>
            <w:noProof/>
            <w:webHidden/>
            <w:sz w:val="26"/>
            <w:szCs w:val="26"/>
          </w:rPr>
          <w:t>27</w:t>
        </w:r>
        <w:r w:rsidR="00B65C5D" w:rsidRPr="00B65C5D">
          <w:rPr>
            <w:noProof/>
            <w:webHidden/>
            <w:sz w:val="26"/>
            <w:szCs w:val="26"/>
          </w:rPr>
          <w:fldChar w:fldCharType="end"/>
        </w:r>
      </w:hyperlink>
    </w:p>
    <w:p w14:paraId="40B051BB" w14:textId="48245B56" w:rsidR="0031696E" w:rsidRDefault="001C22AE" w:rsidP="00B65C5D">
      <w:pPr>
        <w:tabs>
          <w:tab w:val="right" w:leader="dot" w:pos="9345"/>
        </w:tabs>
        <w:snapToGrid w:val="0"/>
        <w:spacing w:before="120" w:after="120" w:line="288" w:lineRule="auto"/>
        <w:jc w:val="both"/>
        <w:rPr>
          <w:rFonts w:ascii="Times New Roman" w:hAnsi="Times New Roman"/>
          <w:b/>
          <w:color w:val="000000"/>
          <w:sz w:val="26"/>
          <w:szCs w:val="26"/>
        </w:rPr>
        <w:sectPr w:rsidR="0031696E" w:rsidSect="00C15705">
          <w:footerReference w:type="default" r:id="rId10"/>
          <w:pgSz w:w="11907" w:h="16840" w:code="9"/>
          <w:pgMar w:top="1134" w:right="1134" w:bottom="1134" w:left="1701" w:header="720" w:footer="397" w:gutter="0"/>
          <w:pgNumType w:start="1"/>
          <w:cols w:space="720"/>
          <w:docGrid w:linePitch="360"/>
        </w:sectPr>
      </w:pPr>
      <w:r w:rsidRPr="00B65C5D">
        <w:rPr>
          <w:rFonts w:ascii="Times New Roman" w:hAnsi="Times New Roman"/>
          <w:b/>
          <w:color w:val="000000"/>
          <w:sz w:val="26"/>
          <w:szCs w:val="26"/>
        </w:rPr>
        <w:fldChar w:fldCharType="end"/>
      </w:r>
    </w:p>
    <w:p w14:paraId="5F2406E0" w14:textId="77777777" w:rsidR="006B4527" w:rsidRPr="00C563BD" w:rsidRDefault="006B4527" w:rsidP="008C6CC2">
      <w:pPr>
        <w:spacing w:after="0" w:line="288" w:lineRule="auto"/>
        <w:jc w:val="center"/>
        <w:rPr>
          <w:rFonts w:ascii="Times New Roman" w:hAnsi="Times New Roman"/>
          <w:b/>
          <w:sz w:val="24"/>
          <w:szCs w:val="24"/>
        </w:rPr>
      </w:pPr>
      <w:bookmarkStart w:id="3" w:name="_Toc456992288"/>
      <w:r w:rsidRPr="00C563BD">
        <w:rPr>
          <w:rFonts w:ascii="Times New Roman" w:hAnsi="Times New Roman"/>
          <w:b/>
          <w:sz w:val="24"/>
          <w:szCs w:val="24"/>
        </w:rPr>
        <w:lastRenderedPageBreak/>
        <w:t>THUYẾT MINH</w:t>
      </w:r>
    </w:p>
    <w:p w14:paraId="066F2F83" w14:textId="3BAD1CD9" w:rsidR="00175665" w:rsidRPr="00C563BD" w:rsidRDefault="006B4527" w:rsidP="00175665">
      <w:pPr>
        <w:spacing w:after="0" w:line="288" w:lineRule="auto"/>
        <w:jc w:val="center"/>
        <w:rPr>
          <w:rFonts w:ascii="Times New Roman" w:hAnsi="Times New Roman"/>
          <w:b/>
          <w:sz w:val="24"/>
          <w:szCs w:val="24"/>
        </w:rPr>
      </w:pPr>
      <w:r w:rsidRPr="00C563BD">
        <w:rPr>
          <w:rFonts w:ascii="Times New Roman" w:hAnsi="Times New Roman"/>
          <w:b/>
          <w:sz w:val="24"/>
          <w:szCs w:val="24"/>
        </w:rPr>
        <w:t xml:space="preserve">DỰ THẢO </w:t>
      </w:r>
      <w:r w:rsidR="00175665" w:rsidRPr="00C563BD">
        <w:rPr>
          <w:rFonts w:ascii="Times New Roman" w:hAnsi="Times New Roman"/>
          <w:b/>
          <w:sz w:val="24"/>
          <w:szCs w:val="24"/>
        </w:rPr>
        <w:t xml:space="preserve">TIÊU CHUẨN KỸ QUỐC GIA </w:t>
      </w:r>
    </w:p>
    <w:p w14:paraId="0FB94B51" w14:textId="20DB45BA" w:rsidR="00810C1C" w:rsidRPr="00810C1C" w:rsidRDefault="00175665" w:rsidP="00810C1C">
      <w:pPr>
        <w:spacing w:after="0" w:line="288" w:lineRule="auto"/>
        <w:jc w:val="center"/>
        <w:rPr>
          <w:rFonts w:ascii="Times New Roman" w:hAnsi="Times New Roman"/>
          <w:b/>
          <w:sz w:val="24"/>
          <w:szCs w:val="24"/>
        </w:rPr>
      </w:pPr>
      <w:r w:rsidRPr="00C563BD">
        <w:rPr>
          <w:rFonts w:ascii="Times New Roman" w:hAnsi="Times New Roman"/>
          <w:b/>
          <w:sz w:val="24"/>
          <w:szCs w:val="24"/>
        </w:rPr>
        <w:t xml:space="preserve">VỀ CÔNG NGHỆ THÔNG TIN </w:t>
      </w:r>
      <w:r w:rsidR="00810C1C" w:rsidRPr="00810C1C">
        <w:rPr>
          <w:rFonts w:ascii="Times New Roman" w:hAnsi="Times New Roman"/>
          <w:b/>
          <w:sz w:val="24"/>
          <w:szCs w:val="24"/>
        </w:rPr>
        <w:t xml:space="preserve">– </w:t>
      </w:r>
      <w:r w:rsidR="00901B21">
        <w:rPr>
          <w:rFonts w:ascii="Times New Roman" w:hAnsi="Times New Roman"/>
          <w:b/>
          <w:sz w:val="24"/>
          <w:szCs w:val="24"/>
        </w:rPr>
        <w:t>CHỈ SỐ CHẤT LƯỢNG</w:t>
      </w:r>
      <w:r w:rsidR="00810C1C" w:rsidRPr="00810C1C">
        <w:rPr>
          <w:rFonts w:ascii="Times New Roman" w:hAnsi="Times New Roman"/>
          <w:b/>
          <w:sz w:val="24"/>
          <w:szCs w:val="24"/>
        </w:rPr>
        <w:t xml:space="preserve"> CHÍNH</w:t>
      </w:r>
    </w:p>
    <w:p w14:paraId="528B2842" w14:textId="77777777" w:rsidR="00810C1C" w:rsidRPr="00810C1C" w:rsidRDefault="00810C1C" w:rsidP="00810C1C">
      <w:pPr>
        <w:spacing w:after="0" w:line="288" w:lineRule="auto"/>
        <w:jc w:val="center"/>
        <w:rPr>
          <w:rFonts w:ascii="Times New Roman" w:hAnsi="Times New Roman"/>
          <w:b/>
          <w:sz w:val="24"/>
          <w:szCs w:val="24"/>
        </w:rPr>
      </w:pPr>
      <w:r w:rsidRPr="00810C1C">
        <w:rPr>
          <w:rFonts w:ascii="Times New Roman" w:hAnsi="Times New Roman"/>
          <w:b/>
          <w:sz w:val="24"/>
          <w:szCs w:val="24"/>
        </w:rPr>
        <w:t xml:space="preserve">PHẦN 2: HIỆU SUẤT SỬ DỤNG ĐIỆN (PUE) </w:t>
      </w:r>
    </w:p>
    <w:p w14:paraId="3F9450E8" w14:textId="77777777" w:rsidR="00810C1C" w:rsidRPr="00810C1C" w:rsidRDefault="00810C1C" w:rsidP="00810C1C">
      <w:pPr>
        <w:spacing w:after="0" w:line="288" w:lineRule="auto"/>
        <w:jc w:val="center"/>
        <w:rPr>
          <w:rFonts w:ascii="Times New Roman" w:hAnsi="Times New Roman"/>
          <w:bCs/>
          <w:i/>
          <w:iCs/>
          <w:sz w:val="24"/>
          <w:szCs w:val="24"/>
        </w:rPr>
      </w:pPr>
      <w:r w:rsidRPr="00810C1C">
        <w:rPr>
          <w:rFonts w:ascii="Times New Roman" w:hAnsi="Times New Roman"/>
          <w:bCs/>
          <w:i/>
          <w:iCs/>
          <w:sz w:val="24"/>
          <w:szCs w:val="24"/>
        </w:rPr>
        <w:t>Information technology - Data centres - Key performance indicators -</w:t>
      </w:r>
    </w:p>
    <w:p w14:paraId="37F0A175" w14:textId="77777777" w:rsidR="00810C1C" w:rsidRPr="00810C1C" w:rsidRDefault="00810C1C" w:rsidP="00810C1C">
      <w:pPr>
        <w:spacing w:after="0" w:line="288" w:lineRule="auto"/>
        <w:jc w:val="center"/>
        <w:rPr>
          <w:rFonts w:ascii="Times New Roman" w:hAnsi="Times New Roman"/>
          <w:bCs/>
          <w:i/>
          <w:iCs/>
          <w:sz w:val="24"/>
          <w:szCs w:val="24"/>
        </w:rPr>
      </w:pPr>
      <w:r w:rsidRPr="00810C1C">
        <w:rPr>
          <w:rFonts w:ascii="Times New Roman" w:hAnsi="Times New Roman"/>
          <w:bCs/>
          <w:i/>
          <w:iCs/>
          <w:sz w:val="24"/>
          <w:szCs w:val="24"/>
        </w:rPr>
        <w:t xml:space="preserve">Part 2: Power usage effectiveness (PUE) </w:t>
      </w:r>
    </w:p>
    <w:p w14:paraId="48D8FE14" w14:textId="77777777" w:rsidR="006B4527" w:rsidRPr="00C563BD" w:rsidRDefault="006B4527" w:rsidP="007C07C9">
      <w:pPr>
        <w:jc w:val="both"/>
        <w:rPr>
          <w:rFonts w:ascii="Times New Roman" w:hAnsi="Times New Roman"/>
          <w:b/>
          <w:iCs/>
        </w:rPr>
      </w:pPr>
    </w:p>
    <w:p w14:paraId="47981FDB" w14:textId="10F95C01" w:rsidR="00EA052E" w:rsidRPr="00C563BD" w:rsidRDefault="000C417B"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4" w:name="_Toc458041028"/>
      <w:bookmarkStart w:id="5" w:name="_Toc458629963"/>
      <w:bookmarkStart w:id="6" w:name="_Toc173371013"/>
      <w:r w:rsidRPr="00C563BD">
        <w:rPr>
          <w:rFonts w:ascii="Times New Roman" w:hAnsi="Times New Roman"/>
          <w:color w:val="000000"/>
          <w:sz w:val="26"/>
          <w:szCs w:val="26"/>
        </w:rPr>
        <w:t xml:space="preserve">Giới thiệu </w:t>
      </w:r>
      <w:r w:rsidR="00D9491C" w:rsidRPr="00C563BD">
        <w:rPr>
          <w:rFonts w:ascii="Times New Roman" w:hAnsi="Times New Roman"/>
          <w:color w:val="000000"/>
          <w:sz w:val="26"/>
          <w:szCs w:val="26"/>
        </w:rPr>
        <w:t xml:space="preserve">dự thảo </w:t>
      </w:r>
      <w:bookmarkEnd w:id="3"/>
      <w:bookmarkEnd w:id="4"/>
      <w:bookmarkEnd w:id="5"/>
      <w:r w:rsidR="00175665" w:rsidRPr="00C563BD">
        <w:rPr>
          <w:rFonts w:ascii="Times New Roman" w:hAnsi="Times New Roman"/>
          <w:color w:val="000000"/>
          <w:sz w:val="26"/>
          <w:szCs w:val="26"/>
        </w:rPr>
        <w:t>TCVN</w:t>
      </w:r>
      <w:bookmarkEnd w:id="6"/>
    </w:p>
    <w:p w14:paraId="320ADF30" w14:textId="77777777" w:rsidR="00551E97" w:rsidRPr="00C563BD" w:rsidRDefault="00EA052E" w:rsidP="00142DA0">
      <w:pPr>
        <w:pStyle w:val="Heading2"/>
        <w:numPr>
          <w:ilvl w:val="1"/>
          <w:numId w:val="16"/>
        </w:numPr>
        <w:snapToGrid w:val="0"/>
        <w:spacing w:before="120" w:after="120" w:line="288" w:lineRule="auto"/>
        <w:ind w:left="567" w:hanging="567"/>
        <w:jc w:val="both"/>
        <w:rPr>
          <w:rFonts w:ascii="Times New Roman" w:hAnsi="Times New Roman"/>
          <w:color w:val="000000"/>
        </w:rPr>
      </w:pPr>
      <w:bookmarkStart w:id="7" w:name="_Toc458041029"/>
      <w:bookmarkStart w:id="8" w:name="_Toc458629964"/>
      <w:bookmarkStart w:id="9" w:name="_Toc173371014"/>
      <w:r w:rsidRPr="00C563BD">
        <w:rPr>
          <w:rFonts w:ascii="Times New Roman" w:hAnsi="Times New Roman"/>
          <w:color w:val="000000"/>
        </w:rPr>
        <w:t xml:space="preserve">Tên </w:t>
      </w:r>
      <w:r w:rsidR="00D9491C" w:rsidRPr="00C563BD">
        <w:rPr>
          <w:rFonts w:ascii="Times New Roman" w:hAnsi="Times New Roman"/>
          <w:color w:val="000000"/>
        </w:rPr>
        <w:t>dự thảo theo đề cương</w:t>
      </w:r>
      <w:bookmarkEnd w:id="7"/>
      <w:bookmarkEnd w:id="8"/>
      <w:bookmarkEnd w:id="9"/>
    </w:p>
    <w:p w14:paraId="66210AFA" w14:textId="2AA0B08A" w:rsidR="00551E97" w:rsidRPr="00C563BD" w:rsidRDefault="00175665" w:rsidP="00142DA0">
      <w:pPr>
        <w:snapToGrid w:val="0"/>
        <w:spacing w:before="120" w:after="120" w:line="288" w:lineRule="auto"/>
        <w:ind w:firstLine="567"/>
        <w:jc w:val="both"/>
        <w:rPr>
          <w:rFonts w:ascii="Times New Roman" w:hAnsi="Times New Roman"/>
          <w:color w:val="000000"/>
          <w:sz w:val="26"/>
          <w:szCs w:val="26"/>
        </w:rPr>
      </w:pPr>
      <w:r w:rsidRPr="00C563BD">
        <w:rPr>
          <w:rFonts w:ascii="Times New Roman" w:hAnsi="Times New Roman"/>
          <w:color w:val="000000"/>
          <w:sz w:val="26"/>
          <w:szCs w:val="26"/>
        </w:rPr>
        <w:t>Tiêu</w:t>
      </w:r>
      <w:r w:rsidRPr="00C563BD">
        <w:rPr>
          <w:rFonts w:ascii="Times New Roman" w:hAnsi="Times New Roman"/>
          <w:color w:val="000000"/>
          <w:sz w:val="26"/>
          <w:szCs w:val="26"/>
          <w:lang w:val="vi-VN"/>
        </w:rPr>
        <w:t xml:space="preserve"> chuẩn</w:t>
      </w:r>
      <w:r w:rsidR="00EA052E" w:rsidRPr="00C563BD">
        <w:rPr>
          <w:rFonts w:ascii="Times New Roman" w:hAnsi="Times New Roman"/>
          <w:color w:val="000000"/>
          <w:sz w:val="26"/>
          <w:szCs w:val="26"/>
        </w:rPr>
        <w:t xml:space="preserve"> </w:t>
      </w:r>
      <w:r w:rsidR="00D43660" w:rsidRPr="00C563BD">
        <w:rPr>
          <w:rFonts w:ascii="Times New Roman" w:hAnsi="Times New Roman"/>
          <w:color w:val="000000"/>
          <w:sz w:val="26"/>
          <w:szCs w:val="26"/>
        </w:rPr>
        <w:t xml:space="preserve">quốc gia </w:t>
      </w:r>
      <w:r w:rsidR="00551E97" w:rsidRPr="00C563BD">
        <w:rPr>
          <w:rFonts w:ascii="Times New Roman" w:hAnsi="Times New Roman"/>
          <w:color w:val="000000"/>
          <w:sz w:val="26"/>
          <w:szCs w:val="26"/>
        </w:rPr>
        <w:t xml:space="preserve">về </w:t>
      </w:r>
      <w:r w:rsidRPr="00C563BD">
        <w:rPr>
          <w:rFonts w:ascii="Times New Roman" w:hAnsi="Times New Roman"/>
          <w:color w:val="000000"/>
          <w:sz w:val="26"/>
          <w:szCs w:val="26"/>
        </w:rPr>
        <w:t>công</w:t>
      </w:r>
      <w:r w:rsidRPr="00C563BD">
        <w:rPr>
          <w:rFonts w:ascii="Times New Roman" w:hAnsi="Times New Roman"/>
          <w:color w:val="000000"/>
          <w:sz w:val="26"/>
          <w:szCs w:val="26"/>
          <w:lang w:val="vi-VN"/>
        </w:rPr>
        <w:t xml:space="preserve"> nghệ thông tin – </w:t>
      </w:r>
      <w:r w:rsidR="00901B21">
        <w:rPr>
          <w:rFonts w:ascii="Times New Roman" w:hAnsi="Times New Roman"/>
          <w:color w:val="000000"/>
          <w:sz w:val="26"/>
          <w:szCs w:val="26"/>
          <w:lang w:val="vi-VN"/>
        </w:rPr>
        <w:t>Chỉ số chất lượng</w:t>
      </w:r>
      <w:r w:rsidR="00810C1C">
        <w:rPr>
          <w:rFonts w:ascii="Times New Roman" w:hAnsi="Times New Roman"/>
          <w:color w:val="000000"/>
          <w:sz w:val="26"/>
          <w:szCs w:val="26"/>
          <w:lang w:val="vi-VN"/>
        </w:rPr>
        <w:t xml:space="preserve"> chính – Phần 2: Hiệu suất sử dụng điện (PUE).</w:t>
      </w:r>
    </w:p>
    <w:p w14:paraId="028F4383" w14:textId="5FFD038A" w:rsidR="00C54621" w:rsidRPr="00C563BD" w:rsidRDefault="00C54621" w:rsidP="00142DA0">
      <w:pPr>
        <w:snapToGrid w:val="0"/>
        <w:spacing w:before="120" w:after="120" w:line="288" w:lineRule="auto"/>
        <w:ind w:firstLine="567"/>
        <w:jc w:val="both"/>
        <w:rPr>
          <w:rFonts w:ascii="Times New Roman" w:hAnsi="Times New Roman"/>
          <w:color w:val="000000"/>
          <w:sz w:val="26"/>
          <w:szCs w:val="26"/>
        </w:rPr>
      </w:pPr>
      <w:r w:rsidRPr="00C563BD">
        <w:rPr>
          <w:rFonts w:ascii="Times New Roman" w:hAnsi="Times New Roman"/>
          <w:color w:val="000000"/>
          <w:sz w:val="26"/>
          <w:szCs w:val="26"/>
        </w:rPr>
        <w:t xml:space="preserve">Ký hiệu: </w:t>
      </w:r>
      <w:r w:rsidR="00175665" w:rsidRPr="00C563BD">
        <w:rPr>
          <w:rFonts w:ascii="Times New Roman" w:hAnsi="Times New Roman"/>
          <w:color w:val="000000"/>
          <w:sz w:val="26"/>
          <w:szCs w:val="26"/>
        </w:rPr>
        <w:t xml:space="preserve">TCVN </w:t>
      </w:r>
      <w:r w:rsidR="00712BA6">
        <w:rPr>
          <w:rFonts w:ascii="Times New Roman" w:hAnsi="Times New Roman"/>
          <w:color w:val="000000"/>
          <w:sz w:val="26"/>
          <w:szCs w:val="26"/>
        </w:rPr>
        <w:t xml:space="preserve">ISO/IEC </w:t>
      </w:r>
      <w:r w:rsidR="00810C1C">
        <w:rPr>
          <w:rFonts w:ascii="Times New Roman" w:hAnsi="Times New Roman"/>
          <w:color w:val="000000"/>
          <w:sz w:val="26"/>
          <w:szCs w:val="26"/>
          <w:lang w:val="vi-VN"/>
        </w:rPr>
        <w:t>30134-2:2024</w:t>
      </w:r>
      <w:r w:rsidRPr="00C563BD">
        <w:rPr>
          <w:rFonts w:ascii="Times New Roman" w:hAnsi="Times New Roman"/>
          <w:color w:val="000000"/>
          <w:sz w:val="26"/>
          <w:szCs w:val="26"/>
        </w:rPr>
        <w:t>.</w:t>
      </w:r>
    </w:p>
    <w:p w14:paraId="1CAF1128" w14:textId="77777777" w:rsidR="00551E97" w:rsidRPr="00C563BD" w:rsidRDefault="000C417B" w:rsidP="00142DA0">
      <w:pPr>
        <w:pStyle w:val="Heading2"/>
        <w:numPr>
          <w:ilvl w:val="1"/>
          <w:numId w:val="16"/>
        </w:numPr>
        <w:snapToGrid w:val="0"/>
        <w:spacing w:before="120" w:after="120" w:line="288" w:lineRule="auto"/>
        <w:ind w:left="567" w:hanging="567"/>
        <w:jc w:val="both"/>
        <w:rPr>
          <w:rFonts w:ascii="Times New Roman" w:hAnsi="Times New Roman"/>
          <w:color w:val="000000"/>
        </w:rPr>
      </w:pPr>
      <w:bookmarkStart w:id="10" w:name="_Toc458041030"/>
      <w:bookmarkStart w:id="11" w:name="_Toc458629965"/>
      <w:bookmarkStart w:id="12" w:name="_Toc173371015"/>
      <w:r w:rsidRPr="00C563BD">
        <w:rPr>
          <w:rFonts w:ascii="Times New Roman" w:hAnsi="Times New Roman"/>
          <w:color w:val="000000"/>
        </w:rPr>
        <w:t>Mục tiêu</w:t>
      </w:r>
      <w:bookmarkEnd w:id="10"/>
      <w:bookmarkEnd w:id="11"/>
      <w:bookmarkEnd w:id="12"/>
    </w:p>
    <w:p w14:paraId="361EE359" w14:textId="49099CBB" w:rsidR="00083A38" w:rsidRPr="00810C1C" w:rsidRDefault="00810C1C" w:rsidP="00142DA0">
      <w:pPr>
        <w:snapToGrid w:val="0"/>
        <w:spacing w:before="120" w:after="120" w:line="288" w:lineRule="auto"/>
        <w:ind w:firstLine="709"/>
        <w:jc w:val="both"/>
        <w:rPr>
          <w:rFonts w:ascii="Times New Roman" w:hAnsi="Times New Roman"/>
          <w:color w:val="000000" w:themeColor="text1"/>
          <w:sz w:val="26"/>
          <w:szCs w:val="26"/>
        </w:rPr>
      </w:pPr>
      <w:bookmarkStart w:id="13" w:name="_Toc458041035"/>
      <w:r w:rsidRPr="00810C1C">
        <w:rPr>
          <w:rFonts w:ascii="Times New Roman" w:hAnsi="Times New Roman"/>
          <w:color w:val="000000" w:themeColor="text1"/>
          <w:sz w:val="26"/>
          <w:szCs w:val="26"/>
        </w:rPr>
        <w:t>Hoàn thiện hệ thống tiêu chuẩn quốc gia trong lĩnh vực thông tin và truyền thông. Cơ sở áp dụng các giải pháp về tiêu chuẩn, quy chuẩn kỹ thuật, hệ thống quản lý, công cụ cải tiến năng suất chất lượng, góp phần nâng cao tỷ trọng đóng góp của năng suất các nhân tố tổng hợp (TFP) vào tăng trưởng kinh tế, nâng cao năng suất chất lượng, hiệu quả, sức cạnh tranh của nền kinh tế.</w:t>
      </w:r>
    </w:p>
    <w:p w14:paraId="47361123" w14:textId="37612F21" w:rsidR="00C54621" w:rsidRDefault="00C54621"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14" w:name="_Toc173371016"/>
      <w:r w:rsidRPr="00C563BD">
        <w:rPr>
          <w:rFonts w:ascii="Times New Roman" w:hAnsi="Times New Roman"/>
          <w:color w:val="000000"/>
          <w:sz w:val="26"/>
          <w:szCs w:val="26"/>
        </w:rPr>
        <w:t>Đặt vấn đề</w:t>
      </w:r>
      <w:bookmarkEnd w:id="14"/>
    </w:p>
    <w:p w14:paraId="0B02B9ED" w14:textId="2956055F"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t>Trong bối cánh chi phí năng lượng toàn cầu ghi nhận đà tăng giá liên tục, các Trung tâm dữ liệu (TTDL) buộc phải tìm kiếm những giải pháp bền vững và mang tính dài hạn hơn. Xu hướng phát triển này giúp chủ đầu tư giảm gánh nặng tài chính đồng thời đẩy mạnh quá trình thu hút khách thuê lâu dài. Tuy nhiên, quá trình chuyển đổi bền vững cần mang tính đồng bộ và thống nhất xuyên suốt thị trường.</w:t>
      </w:r>
    </w:p>
    <w:p w14:paraId="521345E1" w14:textId="11D2FB2A"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t xml:space="preserve">Đặt trong bối cảnh tái cấu trúc thương mại năng lượng, chi phí năng lượng toàn cầu đang liên tục thiết lập mặt bằng giá mới. </w:t>
      </w:r>
      <w:r>
        <w:rPr>
          <w:rFonts w:ascii="Times New Roman" w:hAnsi="Times New Roman"/>
          <w:color w:val="000000" w:themeColor="text1"/>
          <w:sz w:val="26"/>
          <w:szCs w:val="26"/>
        </w:rPr>
        <w:t>Theo</w:t>
      </w:r>
      <w:r>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rPr>
        <w:t>s</w:t>
      </w:r>
      <w:r w:rsidRPr="00301FBC">
        <w:rPr>
          <w:rFonts w:ascii="Times New Roman" w:hAnsi="Times New Roman"/>
          <w:color w:val="000000" w:themeColor="text1"/>
          <w:sz w:val="26"/>
          <w:szCs w:val="26"/>
        </w:rPr>
        <w:t xml:space="preserve">ố liệu của Ngân hàng Thế giới, chỉ số giá năng lượng đã tăng 26,3% trong 4 tháng đầu năm 2022, và tăng 50% từ tháng 1/2020 đến tháng 12/2021. Xu hướng này thể hiện rõ sự tăng trưởng mạnh mẽ về giá than, dầu và khí ga tự nhiên toàn cầu. Điều này đã vô hình trung “đẩy” chi phí vận hành của nhiều lĩnh vực, đặc biệt </w:t>
      </w:r>
      <w:r>
        <w:rPr>
          <w:rFonts w:ascii="Times New Roman" w:hAnsi="Times New Roman"/>
          <w:color w:val="000000" w:themeColor="text1"/>
          <w:sz w:val="26"/>
          <w:szCs w:val="26"/>
        </w:rPr>
        <w:t>giá</w:t>
      </w:r>
      <w:r>
        <w:rPr>
          <w:rFonts w:ascii="Times New Roman" w:hAnsi="Times New Roman"/>
          <w:color w:val="000000" w:themeColor="text1"/>
          <w:sz w:val="26"/>
          <w:szCs w:val="26"/>
          <w:lang w:val="vi-VN"/>
        </w:rPr>
        <w:t xml:space="preserve"> thành duy trì hoạt động của </w:t>
      </w:r>
      <w:r w:rsidRPr="00301FBC">
        <w:rPr>
          <w:rFonts w:ascii="Times New Roman" w:hAnsi="Times New Roman"/>
          <w:color w:val="000000" w:themeColor="text1"/>
          <w:sz w:val="26"/>
          <w:szCs w:val="26"/>
        </w:rPr>
        <w:t>TTDL. Đây là địa điểm tập trung, lưu trữ và xử lý toàn bộ hệ thống cơ sở dữ liệu của doanh nghiệp. Bởi vậy, để đảm bảo tính ổn định và xuyên suốt khi vận hành, những dự án này thường yêu cầu nguồn năng lượng tiêu thụ khổng lồ.</w:t>
      </w:r>
      <w:r>
        <w:rPr>
          <w:rFonts w:ascii="Times New Roman" w:hAnsi="Times New Roman"/>
          <w:color w:val="000000" w:themeColor="text1"/>
          <w:sz w:val="26"/>
          <w:szCs w:val="26"/>
          <w:lang w:val="vi-VN"/>
        </w:rPr>
        <w:t xml:space="preserve"> </w:t>
      </w:r>
      <w:r w:rsidRPr="00301FBC">
        <w:rPr>
          <w:rFonts w:ascii="Times New Roman" w:hAnsi="Times New Roman"/>
          <w:color w:val="000000" w:themeColor="text1"/>
          <w:sz w:val="26"/>
          <w:szCs w:val="26"/>
        </w:rPr>
        <w:t>Theo ghi nhận của Savills, một dự án TTDL với quy mô khoảng 9.300 m2 sử dụng lượng năng lượng tương đương với 15.000 hộ gia đình. Khi kinh phí năng lượng trên đà tăng cao, chủ đầu tư và đơn vị quản lý vận hành các dự án TTDL, sẽ trực tiếp đối mặt với áp lực tài chính đáng kể. Để giảm tải gánh nặng này, họ sẽ buộc phải san sẻ một phần chi phí với người tiêu dùng cuối cùng hoặc phản ánh sự tăng giá trong các hợp đồng cho thuê hiện hữu của doanh nghiệp.</w:t>
      </w:r>
    </w:p>
    <w:p w14:paraId="486C99ED" w14:textId="4C93761F"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lastRenderedPageBreak/>
        <w:t>Thị trường TTDL toàn cầu hội tụ nhiều động lực để phát triển mạnh trong tương lai. Nhiều quốc gia trên trên thế giới đang tăng tốc đẩy mạnh quá trình chuyển đổi số toàn nền kinh tế. Đây là yếu tố cần thiết nhằm thúc đẩy nguồn cầu của các TTDL. Tuy nhiên, để tăng trưởng đúng với tiềm năng trong điều kiện chi phí vận hành cao như bây giờ, các TTDL luôn tìm kiếm những giải pháp bền vững hơn và đảm bảo cho các hệ thống hoạt động trong điều kiện tối ưu, luôn sẵn sàng đáp ứng các yêu cầu sử dụng, nghiệp vụ, cũng như đảm bảo việc vận hành quản trị được thực hiện dễ dàng, hiệu quả, đặc biệt phải tuân thủ các tiêu chuẩn quốc tế.</w:t>
      </w:r>
    </w:p>
    <w:p w14:paraId="5C476DB2" w14:textId="55B8F45A" w:rsidR="001F7D7F" w:rsidRPr="001F7D7F" w:rsidRDefault="001F7D7F" w:rsidP="001F7D7F">
      <w:pPr>
        <w:snapToGrid w:val="0"/>
        <w:spacing w:before="120" w:after="120" w:line="288" w:lineRule="auto"/>
        <w:ind w:firstLine="709"/>
        <w:jc w:val="both"/>
        <w:rPr>
          <w:rFonts w:ascii="Times New Roman" w:hAnsi="Times New Roman"/>
          <w:color w:val="000000" w:themeColor="text1"/>
          <w:sz w:val="26"/>
          <w:szCs w:val="26"/>
        </w:rPr>
      </w:pPr>
      <w:r w:rsidRPr="001F7D7F">
        <w:rPr>
          <w:rFonts w:ascii="Times New Roman" w:hAnsi="Times New Roman"/>
          <w:color w:val="000000" w:themeColor="text1"/>
          <w:sz w:val="26"/>
          <w:szCs w:val="26"/>
        </w:rPr>
        <w:t xml:space="preserve">Trong hoàn cảnh này, </w:t>
      </w:r>
      <w:r>
        <w:rPr>
          <w:rFonts w:ascii="Times New Roman" w:hAnsi="Times New Roman"/>
          <w:color w:val="000000" w:themeColor="text1"/>
          <w:sz w:val="26"/>
          <w:szCs w:val="26"/>
        </w:rPr>
        <w:t>m</w:t>
      </w:r>
      <w:r w:rsidRPr="001F7D7F">
        <w:rPr>
          <w:rFonts w:ascii="Times New Roman" w:hAnsi="Times New Roman"/>
          <w:color w:val="000000" w:themeColor="text1"/>
          <w:sz w:val="26"/>
          <w:szCs w:val="26"/>
        </w:rPr>
        <w:t xml:space="preserve">ột số </w:t>
      </w:r>
      <w:r w:rsidR="00901B21">
        <w:rPr>
          <w:rFonts w:ascii="Times New Roman" w:hAnsi="Times New Roman"/>
          <w:color w:val="000000" w:themeColor="text1"/>
          <w:sz w:val="26"/>
          <w:szCs w:val="26"/>
        </w:rPr>
        <w:t>chỉ số chất lượng</w:t>
      </w:r>
      <w:r>
        <w:rPr>
          <w:rFonts w:ascii="Times New Roman" w:hAnsi="Times New Roman"/>
          <w:color w:val="000000" w:themeColor="text1"/>
          <w:sz w:val="26"/>
          <w:szCs w:val="26"/>
          <w:lang w:val="vi-VN"/>
        </w:rPr>
        <w:t xml:space="preserve"> (gọi tắt là KPI) </w:t>
      </w:r>
      <w:r w:rsidRPr="001F7D7F">
        <w:rPr>
          <w:rFonts w:ascii="Times New Roman" w:hAnsi="Times New Roman"/>
          <w:color w:val="000000" w:themeColor="text1"/>
          <w:sz w:val="26"/>
          <w:szCs w:val="26"/>
        </w:rPr>
        <w:t xml:space="preserve">đã được </w:t>
      </w:r>
      <w:r>
        <w:rPr>
          <w:rFonts w:ascii="Times New Roman" w:hAnsi="Times New Roman"/>
          <w:color w:val="000000" w:themeColor="text1"/>
          <w:sz w:val="26"/>
          <w:szCs w:val="26"/>
        </w:rPr>
        <w:t>cân</w:t>
      </w:r>
      <w:r>
        <w:rPr>
          <w:rFonts w:ascii="Times New Roman" w:hAnsi="Times New Roman"/>
          <w:color w:val="000000" w:themeColor="text1"/>
          <w:sz w:val="26"/>
          <w:szCs w:val="26"/>
          <w:lang w:val="vi-VN"/>
        </w:rPr>
        <w:t xml:space="preserve"> nhắc</w:t>
      </w:r>
      <w:r w:rsidRPr="001F7D7F">
        <w:rPr>
          <w:rFonts w:ascii="Times New Roman" w:hAnsi="Times New Roman"/>
          <w:color w:val="000000" w:themeColor="text1"/>
          <w:sz w:val="26"/>
          <w:szCs w:val="26"/>
        </w:rPr>
        <w:t xml:space="preserve"> để đo lường hiệu quả sử dụng hiệu quả năng lượng và môi trường của các trung tâm dữ liệu</w:t>
      </w:r>
      <w:r>
        <w:rPr>
          <w:rFonts w:ascii="Times New Roman" w:hAnsi="Times New Roman"/>
          <w:color w:val="000000" w:themeColor="text1"/>
          <w:sz w:val="26"/>
          <w:szCs w:val="26"/>
          <w:lang w:val="vi-VN"/>
        </w:rPr>
        <w:t>,</w:t>
      </w:r>
      <w:r w:rsidRPr="001F7D7F">
        <w:rPr>
          <w:rFonts w:ascii="Times New Roman" w:hAnsi="Times New Roman"/>
          <w:color w:val="000000" w:themeColor="text1"/>
          <w:sz w:val="26"/>
          <w:szCs w:val="26"/>
        </w:rPr>
        <w:t xml:space="preserve"> một số chỉ số </w:t>
      </w:r>
      <w:r>
        <w:rPr>
          <w:rFonts w:ascii="Times New Roman" w:hAnsi="Times New Roman"/>
          <w:color w:val="000000" w:themeColor="text1"/>
          <w:sz w:val="26"/>
          <w:szCs w:val="26"/>
        </w:rPr>
        <w:t>trong</w:t>
      </w:r>
      <w:r>
        <w:rPr>
          <w:rFonts w:ascii="Times New Roman" w:hAnsi="Times New Roman"/>
          <w:color w:val="000000" w:themeColor="text1"/>
          <w:sz w:val="26"/>
          <w:szCs w:val="26"/>
          <w:lang w:val="vi-VN"/>
        </w:rPr>
        <w:t xml:space="preserve"> số các chỉ số này </w:t>
      </w:r>
      <w:r w:rsidRPr="001F7D7F">
        <w:rPr>
          <w:rFonts w:ascii="Times New Roman" w:hAnsi="Times New Roman"/>
          <w:color w:val="000000" w:themeColor="text1"/>
          <w:sz w:val="26"/>
          <w:szCs w:val="26"/>
        </w:rPr>
        <w:t>được sử dụng phổ biến hơn các chỉ số khác. Giống như trong bất kỳ lĩnh vực nào khác, và thậm chí có thể nổi bật hơn là trong lĩnh vực trung tâm dữ liệu, có rất nhiều điều phức tạp trong việc sử dụng và giải thích các kết quả của chỉ số. Koronen và.el (2020) đã tóm tắt rất rõ điều này: “Hiệu suất năng lượng của trung tâm dữ liệu là một vấn đề phức tạp vượt xa hiệu quả của thiết bị. Các nguồn lực cần thiết để cung cấp một dịch vụ kỹ thuật số nhất định phụ thuộc vào hiệu suất của hệ thống. Hiệu suất này không chỉ bị ảnh hưởng bởi thiết kế thiết bị mà còn cả kiến ​​trúc phần mềm, phân bổ nguồn lực và điểm đặt vận hành. Sự phức tạp của hệ thống và khó khăn trong việc xác định thế nào là công việc hữu ích (“một đơn vị dịch vụ kỹ thuật số”) là lý do tại sao thực tế không thể đo lường và so sánh một cách khách quan hiệu quả của trung tâm dữ liệu bằng các số liệu chung.”</w:t>
      </w:r>
      <w:r>
        <w:rPr>
          <w:rFonts w:ascii="Times New Roman" w:hAnsi="Times New Roman"/>
          <w:color w:val="000000" w:themeColor="text1"/>
          <w:sz w:val="26"/>
          <w:szCs w:val="26"/>
          <w:lang w:val="vi-VN"/>
        </w:rPr>
        <w:t xml:space="preserve"> </w:t>
      </w:r>
      <w:r w:rsidRPr="001F7D7F">
        <w:rPr>
          <w:rFonts w:ascii="Times New Roman" w:hAnsi="Times New Roman"/>
          <w:color w:val="000000" w:themeColor="text1"/>
          <w:sz w:val="26"/>
          <w:szCs w:val="26"/>
        </w:rPr>
        <w:t>Trước sự tồn tại của nhiều mục tiêu bền vững và nhiều chỉ số, cũng có những câu hỏi về mục tiêu nào cần giám sát, chỉ số nào và kết quả nên được giải thích và đánh giá như thế nào trong quá trình theo đuổi sự bền vững. Vì nước, cùng với năng lượng, cũng là mối quan tâm - và đôi khi có sự cân bằng giữa hai nguồn tài nguyên này - nên đánh giá và báo cáo tính bền vững tổng thể của một trung tâm dữ liệu như thế nào.</w:t>
      </w:r>
    </w:p>
    <w:p w14:paraId="015A9495" w14:textId="139E2984" w:rsidR="00301FBC" w:rsidRDefault="001F7D7F" w:rsidP="001F7D7F">
      <w:pPr>
        <w:snapToGrid w:val="0"/>
        <w:spacing w:before="120" w:after="120" w:line="288" w:lineRule="auto"/>
        <w:ind w:firstLine="709"/>
        <w:jc w:val="both"/>
        <w:rPr>
          <w:rFonts w:ascii="Times New Roman" w:hAnsi="Times New Roman"/>
          <w:color w:val="000000" w:themeColor="text1"/>
          <w:sz w:val="26"/>
          <w:szCs w:val="26"/>
          <w:lang w:val="vi-VN"/>
        </w:rPr>
      </w:pPr>
      <w:r w:rsidRPr="001F7D7F">
        <w:rPr>
          <w:rFonts w:ascii="Times New Roman" w:hAnsi="Times New Roman"/>
          <w:color w:val="000000" w:themeColor="text1"/>
          <w:sz w:val="26"/>
          <w:szCs w:val="26"/>
        </w:rPr>
        <w:tab/>
        <w:t xml:space="preserve">Khi các chỉ số đã được chọn, cũng có những điểm không chắc chắn liên quan đến việc tính toán chúng. Bất chấp những nỗ lực tốt nhất trong việc tiêu chuẩn hóa, việc tính toán các chỉ số trong thực tế luôn phải đưa ra một số quyết định và lựa chọn, ví dụ: liên quan đến </w:t>
      </w:r>
      <w:r>
        <w:rPr>
          <w:rFonts w:ascii="Times New Roman" w:hAnsi="Times New Roman"/>
          <w:color w:val="000000" w:themeColor="text1"/>
          <w:sz w:val="26"/>
          <w:szCs w:val="26"/>
        </w:rPr>
        <w:t>giới</w:t>
      </w:r>
      <w:r>
        <w:rPr>
          <w:rFonts w:ascii="Times New Roman" w:hAnsi="Times New Roman"/>
          <w:color w:val="000000" w:themeColor="text1"/>
          <w:sz w:val="26"/>
          <w:szCs w:val="26"/>
          <w:lang w:val="vi-VN"/>
        </w:rPr>
        <w:t xml:space="preserve"> hạn của</w:t>
      </w:r>
      <w:r w:rsidRPr="001F7D7F">
        <w:rPr>
          <w:rFonts w:ascii="Times New Roman" w:hAnsi="Times New Roman"/>
          <w:color w:val="000000" w:themeColor="text1"/>
          <w:sz w:val="26"/>
          <w:szCs w:val="26"/>
        </w:rPr>
        <w:t xml:space="preserve"> hệ thống hoặc trình bày kết quả, điều này không bao giờ cho phép các chỉ số có thể so sánh được hoàn toàn trong </w:t>
      </w:r>
      <w:r>
        <w:rPr>
          <w:rFonts w:ascii="Times New Roman" w:hAnsi="Times New Roman"/>
          <w:color w:val="000000" w:themeColor="text1"/>
          <w:sz w:val="26"/>
          <w:szCs w:val="26"/>
        </w:rPr>
        <w:t>TTDL</w:t>
      </w:r>
      <w:r w:rsidRPr="001F7D7F">
        <w:rPr>
          <w:rFonts w:ascii="Times New Roman" w:hAnsi="Times New Roman"/>
          <w:color w:val="000000" w:themeColor="text1"/>
          <w:sz w:val="26"/>
          <w:szCs w:val="26"/>
        </w:rPr>
        <w:t>.</w:t>
      </w:r>
      <w:r>
        <w:rPr>
          <w:rFonts w:ascii="Times New Roman" w:hAnsi="Times New Roman"/>
          <w:color w:val="000000" w:themeColor="text1"/>
          <w:sz w:val="26"/>
          <w:szCs w:val="26"/>
          <w:lang w:val="vi-VN"/>
        </w:rPr>
        <w:t xml:space="preserve"> Một số chỉ số chính đã được nhiều tổ chức tiêu chuẩn và quốc gia phát triển </w:t>
      </w:r>
      <w:r w:rsidR="00DA2882">
        <w:rPr>
          <w:rFonts w:ascii="Times New Roman" w:hAnsi="Times New Roman"/>
          <w:color w:val="000000" w:themeColor="text1"/>
          <w:sz w:val="26"/>
          <w:szCs w:val="26"/>
          <w:lang w:val="vi-VN"/>
        </w:rPr>
        <w:t>về lĩnh vực TTDL lựa chọn như:</w:t>
      </w:r>
    </w:p>
    <w:p w14:paraId="034BDEF4" w14:textId="77777777"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Hiệu suất sử dụng điện PUE:</w:t>
      </w:r>
    </w:p>
    <w:p w14:paraId="5F8B3250" w14:textId="511DCE0B" w:rsidR="00DA2882" w:rsidRPr="00DA2882" w:rsidRDefault="001917F8" w:rsidP="001917F8">
      <w:pPr>
        <w:snapToGrid w:val="0"/>
        <w:spacing w:before="120" w:after="120" w:line="288" w:lineRule="auto"/>
        <w:ind w:firstLine="720"/>
        <w:jc w:val="both"/>
        <w:rPr>
          <w:rFonts w:ascii="Times New Roman" w:hAnsi="Times New Roman"/>
          <w:sz w:val="26"/>
          <w:szCs w:val="26"/>
          <w:lang w:val="it-IT"/>
        </w:rPr>
      </w:pPr>
      <w:r>
        <w:rPr>
          <w:rFonts w:ascii="Times New Roman" w:hAnsi="Times New Roman"/>
          <w:color w:val="000000" w:themeColor="text1"/>
          <w:sz w:val="26"/>
          <w:szCs w:val="26"/>
          <w:lang w:val="vi-VN"/>
        </w:rPr>
        <w:t xml:space="preserve">- </w:t>
      </w:r>
      <w:r w:rsidR="00DA2882">
        <w:rPr>
          <w:rFonts w:ascii="Times New Roman" w:hAnsi="Times New Roman"/>
          <w:sz w:val="26"/>
          <w:szCs w:val="26"/>
          <w:lang w:val="it-IT"/>
        </w:rPr>
        <w:t>N</w:t>
      </w:r>
      <w:r w:rsidR="00DA2882" w:rsidRPr="00DA2882">
        <w:rPr>
          <w:rFonts w:ascii="Times New Roman" w:hAnsi="Times New Roman"/>
          <w:sz w:val="26"/>
          <w:szCs w:val="26"/>
          <w:lang w:val="it-IT"/>
        </w:rPr>
        <w:t>ăm 2016, PUE được công bố là tiêu chuẩn toàn cầu cho ISO/IEC 30134-2:2016. PUE là thước đo hiệu quả tiêu chuẩn cho mức tiêu thụ năng lượng trong các trung tâm dữ liệu. Một định nghĩa đơn giản về PUE là tỷ lệ giữa tổng năng lượng của cơ sở so với năng lượng của thiết bị CNTT được sử dụng trong trung tâm dữ liệu và chỉ số này được tính như sau:</w:t>
      </w:r>
    </w:p>
    <w:p w14:paraId="72E7DE86" w14:textId="6D02C9E9" w:rsidR="00DA2882" w:rsidRPr="00DA2882" w:rsidRDefault="00DA2882" w:rsidP="00DA2882">
      <w:pPr>
        <w:tabs>
          <w:tab w:val="left" w:pos="567"/>
        </w:tabs>
        <w:spacing w:before="120" w:after="120"/>
        <w:rPr>
          <w:rFonts w:ascii="Times New Roman" w:hAnsi="Times New Roman"/>
          <w:i/>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w:lastRenderedPageBreak/>
            <m:t>PUE</m:t>
          </m:r>
          <m:r>
            <w:rPr>
              <w:rFonts w:ascii="Cambria Math" w:hAnsi="Cambria Math"/>
              <w:color w:val="000000" w:themeColor="text1"/>
              <w:sz w:val="26"/>
              <w:szCs w:val="26"/>
              <w:shd w:val="clear" w:color="auto" w:fill="FFFFFF"/>
              <w:lang w:val="vi-VN"/>
            </w:rPr>
            <m:t xml:space="preserve"> = </m:t>
          </m:r>
          <m:f>
            <m:fPr>
              <m:ctrlPr>
                <w:rPr>
                  <w:rFonts w:ascii="Cambria Math" w:hAnsi="Cambria Math"/>
                  <w:i/>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Tổng năng lượng cơ sở</m:t>
              </m:r>
            </m:num>
            <m:den>
              <m:r>
                <m:rPr>
                  <m:nor/>
                </m:rPr>
                <w:rPr>
                  <w:rFonts w:ascii="Times New Roman" w:hAnsi="Times New Roman"/>
                  <w:color w:val="000000" w:themeColor="text1"/>
                  <w:sz w:val="26"/>
                  <w:szCs w:val="26"/>
                  <w:shd w:val="clear" w:color="auto" w:fill="FFFFFF"/>
                  <w:lang w:val="vi-VN"/>
                </w:rPr>
                <m:t>Năng lượng thiết bị IT</m:t>
              </m:r>
            </m:den>
          </m:f>
          <m:r>
            <w:rPr>
              <w:rFonts w:ascii="Cambria Math" w:hAnsi="Cambria Math"/>
              <w:color w:val="000000" w:themeColor="text1"/>
              <w:sz w:val="26"/>
              <w:szCs w:val="26"/>
              <w:shd w:val="clear" w:color="auto" w:fill="FFFFFF"/>
              <w:lang w:val="vi-VN"/>
            </w:rPr>
            <m:t>=</m:t>
          </m:r>
          <m:r>
            <m:rPr>
              <m:nor/>
            </m:rPr>
            <w:rPr>
              <w:rFonts w:ascii="Times New Roman" w:hAnsi="Times New Roman"/>
              <w:color w:val="000000" w:themeColor="text1"/>
              <w:sz w:val="26"/>
              <w:szCs w:val="26"/>
              <w:shd w:val="clear" w:color="auto" w:fill="FFFFFF"/>
              <w:lang w:val="vi-VN"/>
            </w:rPr>
            <m:t xml:space="preserve">1 + </m:t>
          </m:r>
          <m:f>
            <m:fPr>
              <m:ctrlPr>
                <w:rPr>
                  <w:rFonts w:ascii="Cambria Math" w:hAnsi="Cambria Math"/>
                  <w:i/>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cơ sở không phải IT</m:t>
              </m:r>
            </m:num>
            <m:den>
              <m:r>
                <m:rPr>
                  <m:nor/>
                </m:rPr>
                <w:rPr>
                  <w:rFonts w:ascii="Times New Roman" w:hAnsi="Times New Roman"/>
                  <w:color w:val="000000" w:themeColor="text1"/>
                  <w:sz w:val="26"/>
                  <w:szCs w:val="26"/>
                  <w:shd w:val="clear" w:color="auto" w:fill="FFFFFF"/>
                  <w:lang w:val="vi-VN"/>
                </w:rPr>
                <m:t>Năng lượng thiết bị IT</m:t>
              </m:r>
            </m:den>
          </m:f>
          <m:r>
            <m:rPr>
              <m:nor/>
            </m:rPr>
            <w:rPr>
              <w:rFonts w:ascii="Times New Roman" w:hAnsi="Times New Roman"/>
              <w:color w:val="000000" w:themeColor="text1"/>
              <w:sz w:val="26"/>
              <w:szCs w:val="26"/>
              <w:shd w:val="clear" w:color="auto" w:fill="FFFFFF"/>
              <w:lang w:val="vi-VN"/>
            </w:rPr>
            <m:t xml:space="preserve">      (1) </m:t>
          </m:r>
          <m:r>
            <w:rPr>
              <w:rFonts w:ascii="Cambria Math" w:hAnsi="Cambria Math"/>
              <w:color w:val="000000" w:themeColor="text1"/>
              <w:sz w:val="26"/>
              <w:szCs w:val="26"/>
              <w:shd w:val="clear" w:color="auto" w:fill="FFFFFF"/>
              <w:lang w:val="vi-VN"/>
            </w:rPr>
            <m:t xml:space="preserve"> </m:t>
          </m:r>
        </m:oMath>
      </m:oMathPara>
    </w:p>
    <w:p w14:paraId="0EB85E6F" w14:textId="752DAA30" w:rsid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sz w:val="26"/>
          <w:szCs w:val="26"/>
          <w:lang w:val="it-IT"/>
        </w:rPr>
        <w:t>PUE</w:t>
      </w:r>
      <w:r w:rsidR="00DA2882" w:rsidRPr="00DA2882">
        <w:rPr>
          <w:rFonts w:ascii="Times New Roman" w:hAnsi="Times New Roman"/>
          <w:color w:val="000000" w:themeColor="text1"/>
          <w:sz w:val="26"/>
          <w:szCs w:val="26"/>
          <w:shd w:val="clear" w:color="auto" w:fill="FFFFFF"/>
        </w:rPr>
        <w:t xml:space="preserve"> được biểu thị dưới dạng tỷ lệ, trong đó tỷ lệ 1</w:t>
      </w:r>
      <w:r w:rsidR="00DA2882" w:rsidRPr="00DA2882">
        <w:rPr>
          <w:rFonts w:ascii="Times New Roman" w:hAnsi="Times New Roman"/>
          <w:color w:val="000000" w:themeColor="text1"/>
          <w:sz w:val="26"/>
          <w:szCs w:val="26"/>
          <w:shd w:val="clear" w:color="auto" w:fill="FFFFFF"/>
          <w:lang w:val="vi-VN"/>
        </w:rPr>
        <w:t>,</w:t>
      </w:r>
      <w:r w:rsidR="00DA2882" w:rsidRPr="00DA2882">
        <w:rPr>
          <w:rFonts w:ascii="Times New Roman" w:hAnsi="Times New Roman"/>
          <w:color w:val="000000" w:themeColor="text1"/>
          <w:sz w:val="26"/>
          <w:szCs w:val="26"/>
          <w:shd w:val="clear" w:color="auto" w:fill="FFFFFF"/>
        </w:rPr>
        <w:t>0 đại diện cho PUE "hoàn hảo". PUE càng tăng từ 1</w:t>
      </w:r>
      <w:r w:rsidR="00DA2882" w:rsidRPr="00DA2882">
        <w:rPr>
          <w:rFonts w:ascii="Times New Roman" w:hAnsi="Times New Roman"/>
          <w:color w:val="000000" w:themeColor="text1"/>
          <w:sz w:val="26"/>
          <w:szCs w:val="26"/>
          <w:shd w:val="clear" w:color="auto" w:fill="FFFFFF"/>
          <w:lang w:val="vi-VN"/>
        </w:rPr>
        <w:t>,</w:t>
      </w:r>
      <w:r w:rsidR="00DA2882" w:rsidRPr="00DA2882">
        <w:rPr>
          <w:rFonts w:ascii="Times New Roman" w:hAnsi="Times New Roman"/>
          <w:color w:val="000000" w:themeColor="text1"/>
          <w:sz w:val="26"/>
          <w:szCs w:val="26"/>
          <w:shd w:val="clear" w:color="auto" w:fill="FFFFFF"/>
        </w:rPr>
        <w:t>0 thì trung tâm dữ liệu càng kém hiệu quả về năng lượng.</w:t>
      </w:r>
      <w:r w:rsidR="00DA2882" w:rsidRPr="00DA2882">
        <w:rPr>
          <w:rFonts w:ascii="Times New Roman" w:hAnsi="Times New Roman"/>
          <w:color w:val="000000" w:themeColor="text1"/>
          <w:sz w:val="26"/>
          <w:szCs w:val="26"/>
          <w:shd w:val="clear" w:color="auto" w:fill="FFFFFF"/>
          <w:lang w:val="vi-VN"/>
        </w:rPr>
        <w:t xml:space="preserve"> Có thể khó khăn khi so sánh các phép đo PUE với các trung tâm dữ liệu riêng lẻ, thậm chí cả các cơ sở rất giống nhau. Vì một số lý do, hai trung tâm dữ liệu có quy mô gần giống nhau nhưng nằm ở các vị trí khác nhau (có thể là các khu vực hoặc quốc gia khác nhau) có thể dễ dàng tiêu thụ điện năng theo những cách rất khác nhau. Ví dụ, sự khác biệt về khí hậu và thời tiết địa phương, dịch vụ lưới điện và thậm chí cả vật liệu xây dựng cơ sở vật chất có thể ảnh hưởng đến việc sử dụng năng lượng. Mặc dù PUE không phải là thước đo hoàn hảo nhưng nó rất dễ sử dụng và giúp các nhà khai thác trung tâm dữ liệu giảm thiểu mức tiêu thụ năng lượng của cơ sở của họ.</w:t>
      </w:r>
    </w:p>
    <w:p w14:paraId="0BC49552" w14:textId="779F0425"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Hệ số năng lượng tái tạo REF:</w:t>
      </w:r>
    </w:p>
    <w:p w14:paraId="6A738630" w14:textId="4796B0AC"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color w:val="000000" w:themeColor="text1"/>
          <w:sz w:val="28"/>
          <w:szCs w:val="28"/>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Còn được gọi là RES, cho biết tỷ lệ năng lượng tái tạo được sử dụng so với tổng mức tiêu thụ năng lượng của một trung tâm dữ liệu. REF được định nghĩa trong tiêu chuẩn quốc tế ISO/IEC 30134-3, chỉ số này được tính toán như sau:</w:t>
      </w:r>
    </w:p>
    <w:p w14:paraId="6CEFC2B7"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w:rPr>
              <w:rFonts w:ascii="Cambria Math" w:hAnsi="Cambria Math"/>
              <w:color w:val="000000" w:themeColor="text1"/>
              <w:sz w:val="26"/>
              <w:szCs w:val="26"/>
              <w:shd w:val="clear" w:color="auto" w:fill="FFFFFF"/>
              <w:lang w:val="vi-VN"/>
            </w:rPr>
            <m:t>REF</m:t>
          </m:r>
          <m:r>
            <m:rPr>
              <m:sty m:val="p"/>
            </m:rPr>
            <w:rPr>
              <w:rFonts w:ascii="Cambria Math" w:hAnsi="Cambria Math"/>
              <w:color w:val="000000" w:themeColor="text1"/>
              <w:sz w:val="26"/>
              <w:szCs w:val="26"/>
              <w:shd w:val="clear" w:color="auto" w:fill="FFFFFF"/>
              <w:lang w:val="vi-VN"/>
            </w:rPr>
            <m:t>=</m:t>
          </m:r>
          <m:f>
            <m:fPr>
              <m:ctrlPr>
                <w:rPr>
                  <w:rFonts w:ascii="Cambria Math" w:hAnsi="Cambria Math"/>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tái tạo được sử dụng bởi trung tâm dữ liệu</m:t>
              </m:r>
            </m:num>
            <m:den>
              <m:r>
                <m:rPr>
                  <m:nor/>
                </m:rPr>
                <w:rPr>
                  <w:rFonts w:ascii="Times New Roman" w:hAnsi="Times New Roman"/>
                  <w:color w:val="000000" w:themeColor="text1"/>
                  <w:sz w:val="26"/>
                  <w:szCs w:val="26"/>
                  <w:shd w:val="clear" w:color="auto" w:fill="FFFFFF"/>
                  <w:lang w:val="vi-VN"/>
                </w:rPr>
                <m:t>Tổng mức tiêu thụ năng lượng bởi trung tâm dữ liệu</m:t>
              </m:r>
            </m:den>
          </m:f>
          <m:r>
            <m:rPr>
              <m:nor/>
            </m:rPr>
            <w:rPr>
              <w:rFonts w:ascii="Times New Roman" w:hAnsi="Times New Roman"/>
              <w:color w:val="000000" w:themeColor="text1"/>
              <w:sz w:val="26"/>
              <w:szCs w:val="26"/>
              <w:shd w:val="clear" w:color="auto" w:fill="FFFFFF"/>
              <w:lang w:val="vi-VN"/>
            </w:rPr>
            <m:t xml:space="preserve">     (2) </m:t>
          </m:r>
          <m:r>
            <m:rPr>
              <m:sty m:val="p"/>
            </m:rPr>
            <w:rPr>
              <w:rFonts w:ascii="Cambria Math" w:hAnsi="Cambria Math"/>
              <w:color w:val="000000" w:themeColor="text1"/>
              <w:sz w:val="26"/>
              <w:szCs w:val="26"/>
              <w:shd w:val="clear" w:color="auto" w:fill="FFFFFF"/>
              <w:lang w:val="vi-VN"/>
            </w:rPr>
            <m:t xml:space="preserve"> </m:t>
          </m:r>
        </m:oMath>
      </m:oMathPara>
    </w:p>
    <w:p w14:paraId="450DDA2B" w14:textId="79EECA45"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Giá trị REF = 1,0 có nghĩa là tất cả năng lượng sử dụng đều có thể tái tạo được. REF là số liệu chuẩn hóa cho phép so sánh các trung tâm dữ liệu có quy mô khác nhau.</w:t>
      </w:r>
    </w:p>
    <w:p w14:paraId="0CB79C63" w14:textId="51AE84F8"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Hệ số tái sử dụng năng lượng (ERF)</w:t>
      </w:r>
      <w:r>
        <w:rPr>
          <w:rFonts w:ascii="Times New Roman" w:hAnsi="Times New Roman"/>
          <w:i/>
          <w:iCs/>
          <w:color w:val="000000" w:themeColor="text1"/>
          <w:sz w:val="26"/>
          <w:szCs w:val="26"/>
          <w:lang w:val="vi-VN"/>
        </w:rPr>
        <w:t>:</w:t>
      </w:r>
    </w:p>
    <w:p w14:paraId="1BA39DEF" w14:textId="07E2747C"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DA2882">
        <w:rPr>
          <w:rFonts w:ascii="Times New Roman" w:hAnsi="Times New Roman"/>
          <w:color w:val="000000" w:themeColor="text1"/>
          <w:sz w:val="26"/>
          <w:szCs w:val="26"/>
          <w:shd w:val="clear" w:color="auto" w:fill="FFFFFF"/>
          <w:lang w:val="vi-VN"/>
        </w:rPr>
        <w:tab/>
        <w:t>Là mối quan hệ giữa lượng nhiệt thải bên ngoài được tái sử dụng của trung tâm dữ liệu với tổng mức tiêu thụ năng lượng của trung tâm dữ liệu. ERF được xác định trong tiêu chuẩn ISO/IEC 30134-6, chỉ số này được tính toán như sau:</w:t>
      </w:r>
    </w:p>
    <w:p w14:paraId="6EEE8907"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w:rPr>
              <w:rFonts w:ascii="Cambria Math" w:hAnsi="Cambria Math"/>
              <w:color w:val="000000" w:themeColor="text1"/>
              <w:sz w:val="26"/>
              <w:szCs w:val="26"/>
              <w:shd w:val="clear" w:color="auto" w:fill="FFFFFF"/>
              <w:lang w:val="vi-VN"/>
            </w:rPr>
            <m:t>REF</m:t>
          </m:r>
          <m:r>
            <m:rPr>
              <m:sty m:val="p"/>
            </m:rPr>
            <w:rPr>
              <w:rFonts w:ascii="Cambria Math" w:hAnsi="Cambria Math"/>
              <w:color w:val="000000" w:themeColor="text1"/>
              <w:sz w:val="26"/>
              <w:szCs w:val="26"/>
              <w:shd w:val="clear" w:color="auto" w:fill="FFFFFF"/>
              <w:lang w:val="vi-VN"/>
            </w:rPr>
            <m:t>=</m:t>
          </m:r>
          <m:f>
            <m:fPr>
              <m:ctrlPr>
                <w:rPr>
                  <w:rFonts w:ascii="Cambria Math" w:hAnsi="Cambria Math"/>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tái sử dụng bên ngoài bởi trung tâm dữ liệu</m:t>
              </m:r>
            </m:num>
            <m:den>
              <m:r>
                <m:rPr>
                  <m:nor/>
                </m:rPr>
                <w:rPr>
                  <w:rFonts w:ascii="Times New Roman" w:hAnsi="Times New Roman"/>
                  <w:color w:val="000000" w:themeColor="text1"/>
                  <w:sz w:val="26"/>
                  <w:szCs w:val="26"/>
                  <w:shd w:val="clear" w:color="auto" w:fill="FFFFFF"/>
                  <w:lang w:val="vi-VN"/>
                </w:rPr>
                <m:t>Tổng mức tiêu thụ năng lượng bởi trung tâm dữ liệu</m:t>
              </m:r>
            </m:den>
          </m:f>
          <m:r>
            <m:rPr>
              <m:nor/>
            </m:rPr>
            <w:rPr>
              <w:rFonts w:ascii="Times New Roman" w:hAnsi="Times New Roman"/>
              <w:color w:val="000000" w:themeColor="text1"/>
              <w:sz w:val="26"/>
              <w:szCs w:val="26"/>
              <w:shd w:val="clear" w:color="auto" w:fill="FFFFFF"/>
              <w:lang w:val="vi-VN"/>
            </w:rPr>
            <m:t xml:space="preserve">     (3) </m:t>
          </m:r>
          <m:r>
            <m:rPr>
              <m:sty m:val="p"/>
            </m:rPr>
            <w:rPr>
              <w:rFonts w:ascii="Cambria Math" w:hAnsi="Cambria Math"/>
              <w:color w:val="000000" w:themeColor="text1"/>
              <w:sz w:val="26"/>
              <w:szCs w:val="26"/>
              <w:shd w:val="clear" w:color="auto" w:fill="FFFFFF"/>
              <w:lang w:val="vi-VN"/>
            </w:rPr>
            <m:t xml:space="preserve"> </m:t>
          </m:r>
        </m:oMath>
      </m:oMathPara>
    </w:p>
    <w:p w14:paraId="500BBC04" w14:textId="51DBA9B6"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Về cơ bản, ERF có giá trị từ 0 đến 1, trong đó 0 nghĩa là không thu hồi được nhiệt thải và 1 nghĩa là tái sử dụng hoàn toàn năng lượng. Thông thường, lượng nhiệt thải được tái sử dụng vào hệ thống sưởi ấm của trung tâm dữ liệu.</w:t>
      </w:r>
    </w:p>
    <w:p w14:paraId="6D38C3A3" w14:textId="79F92569"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 xml:space="preserve">Tỷ số hiệu suất </w:t>
      </w:r>
      <w:r w:rsidR="001917F8">
        <w:rPr>
          <w:rFonts w:ascii="Times New Roman" w:hAnsi="Times New Roman"/>
          <w:i/>
          <w:iCs/>
          <w:color w:val="000000" w:themeColor="text1"/>
          <w:sz w:val="26"/>
          <w:szCs w:val="26"/>
          <w:lang w:val="vi-VN"/>
        </w:rPr>
        <w:t>làm lạnh</w:t>
      </w:r>
      <w:r w:rsidRPr="00DA2882">
        <w:rPr>
          <w:rFonts w:ascii="Times New Roman" w:hAnsi="Times New Roman"/>
          <w:i/>
          <w:iCs/>
          <w:color w:val="000000" w:themeColor="text1"/>
          <w:sz w:val="26"/>
          <w:szCs w:val="26"/>
          <w:lang w:val="vi-VN"/>
        </w:rPr>
        <w:t xml:space="preserve"> CER</w:t>
      </w:r>
      <w:r>
        <w:rPr>
          <w:rFonts w:ascii="Times New Roman" w:hAnsi="Times New Roman"/>
          <w:i/>
          <w:iCs/>
          <w:color w:val="000000" w:themeColor="text1"/>
          <w:sz w:val="26"/>
          <w:szCs w:val="26"/>
          <w:lang w:val="vi-VN"/>
        </w:rPr>
        <w:t>:</w:t>
      </w:r>
    </w:p>
    <w:p w14:paraId="35B62A6B" w14:textId="420334C1"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Tỷ số hiệu suất </w:t>
      </w:r>
      <w:r>
        <w:rPr>
          <w:rFonts w:ascii="Times New Roman" w:hAnsi="Times New Roman"/>
          <w:color w:val="000000" w:themeColor="text1"/>
          <w:sz w:val="26"/>
          <w:szCs w:val="26"/>
          <w:shd w:val="clear" w:color="auto" w:fill="FFFFFF"/>
          <w:lang w:val="vi-VN"/>
        </w:rPr>
        <w:t>làm lạnh</w:t>
      </w:r>
      <w:r w:rsidR="00DA2882" w:rsidRPr="00DA2882">
        <w:rPr>
          <w:rFonts w:ascii="Times New Roman" w:hAnsi="Times New Roman"/>
          <w:color w:val="000000" w:themeColor="text1"/>
          <w:sz w:val="26"/>
          <w:szCs w:val="26"/>
          <w:shd w:val="clear" w:color="auto" w:fill="FFFFFF"/>
          <w:lang w:val="vi-VN"/>
        </w:rPr>
        <w:t xml:space="preserve"> (CER) cũng là một </w:t>
      </w:r>
      <w:r w:rsidR="00901B21">
        <w:rPr>
          <w:rFonts w:ascii="Times New Roman" w:hAnsi="Times New Roman"/>
          <w:color w:val="000000" w:themeColor="text1"/>
          <w:sz w:val="26"/>
          <w:szCs w:val="26"/>
          <w:shd w:val="clear" w:color="auto" w:fill="FFFFFF"/>
          <w:lang w:val="vi-VN"/>
        </w:rPr>
        <w:t>chỉ số chất lượng</w:t>
      </w:r>
      <w:r w:rsidR="00DA2882" w:rsidRPr="00DA2882">
        <w:rPr>
          <w:rFonts w:ascii="Times New Roman" w:hAnsi="Times New Roman"/>
          <w:color w:val="000000" w:themeColor="text1"/>
          <w:sz w:val="26"/>
          <w:szCs w:val="26"/>
          <w:shd w:val="clear" w:color="auto" w:fill="FFFFFF"/>
          <w:lang w:val="vi-VN"/>
        </w:rPr>
        <w:t xml:space="preserve"> chính (KPI) nhằm đánh giá việc sử dụng năng lượng hiệu suất để kiểm soát nhiệt độ của các không gian bên trong trung tâm dữ liệu (DC). Theo ISO/IEC 30134-7, CUE là tỷ lệ giữa tổng nhiệt lượng loại bỏ và năng lượng điện do hệ thống </w:t>
      </w:r>
      <w:r>
        <w:rPr>
          <w:rFonts w:ascii="Times New Roman" w:hAnsi="Times New Roman"/>
          <w:color w:val="000000" w:themeColor="text1"/>
          <w:sz w:val="26"/>
          <w:szCs w:val="26"/>
          <w:shd w:val="clear" w:color="auto" w:fill="FFFFFF"/>
          <w:lang w:val="vi-VN"/>
        </w:rPr>
        <w:t>làm lạnh</w:t>
      </w:r>
      <w:r w:rsidR="00DA2882" w:rsidRPr="00DA2882">
        <w:rPr>
          <w:rFonts w:ascii="Times New Roman" w:hAnsi="Times New Roman"/>
          <w:color w:val="000000" w:themeColor="text1"/>
          <w:sz w:val="26"/>
          <w:szCs w:val="26"/>
          <w:shd w:val="clear" w:color="auto" w:fill="FFFFFF"/>
          <w:lang w:val="vi-VN"/>
        </w:rPr>
        <w:t xml:space="preserve"> tiêu thụ.</w:t>
      </w:r>
    </w:p>
    <w:p w14:paraId="1E854A04" w14:textId="0E24C7C9" w:rsidR="00DA2882" w:rsidRPr="00DA2882" w:rsidRDefault="00DA2882"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CER</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heat</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cooling</m:t>
                  </m:r>
                </m:sub>
              </m:sSub>
            </m:den>
          </m:f>
          <m:r>
            <m:rPr>
              <m:nor/>
            </m:rPr>
            <w:rPr>
              <w:rFonts w:ascii="Times New Roman" w:hAnsi="Times New Roman"/>
              <w:color w:val="000000" w:themeColor="text1"/>
              <w:sz w:val="26"/>
              <w:szCs w:val="26"/>
              <w:shd w:val="clear" w:color="auto" w:fill="FFFFFF"/>
              <w:lang w:val="vi-VN"/>
            </w:rPr>
            <m:t xml:space="preserve">     (4) </m:t>
          </m:r>
          <m:r>
            <m:rPr>
              <m:sty m:val="p"/>
            </m:rPr>
            <w:rPr>
              <w:rFonts w:ascii="Cambria Math" w:hAnsi="Cambria Math"/>
              <w:color w:val="000000" w:themeColor="text1"/>
              <w:sz w:val="26"/>
              <w:szCs w:val="26"/>
              <w:shd w:val="clear" w:color="auto" w:fill="FFFFFF"/>
              <w:lang w:val="vi-VN"/>
            </w:rPr>
            <m:t xml:space="preserve"> </m:t>
          </m:r>
        </m:oMath>
      </m:oMathPara>
    </w:p>
    <w:p w14:paraId="7A752F86" w14:textId="661D17B1"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lastRenderedPageBreak/>
        <w:t>Hiệu suất sử dụng carbon CUE</w:t>
      </w:r>
      <w:r w:rsidR="001917F8">
        <w:rPr>
          <w:rFonts w:ascii="Times New Roman" w:hAnsi="Times New Roman"/>
          <w:i/>
          <w:iCs/>
          <w:color w:val="000000" w:themeColor="text1"/>
          <w:sz w:val="26"/>
          <w:szCs w:val="26"/>
          <w:lang w:val="vi-VN"/>
        </w:rPr>
        <w:t>:</w:t>
      </w:r>
    </w:p>
    <w:p w14:paraId="1B416ADE" w14:textId="28EB99AE"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Hiệu suất sử dụng Carbon (CUE) như một </w:t>
      </w:r>
      <w:r w:rsidR="00901B21">
        <w:rPr>
          <w:rFonts w:ascii="Times New Roman" w:hAnsi="Times New Roman"/>
          <w:color w:val="000000" w:themeColor="text1"/>
          <w:sz w:val="26"/>
          <w:szCs w:val="26"/>
          <w:shd w:val="clear" w:color="auto" w:fill="FFFFFF"/>
          <w:lang w:val="vi-VN"/>
        </w:rPr>
        <w:t>chỉ số chất lượng</w:t>
      </w:r>
      <w:r w:rsidR="00DA2882" w:rsidRPr="00DA2882">
        <w:rPr>
          <w:rFonts w:ascii="Times New Roman" w:hAnsi="Times New Roman"/>
          <w:color w:val="000000" w:themeColor="text1"/>
          <w:sz w:val="26"/>
          <w:szCs w:val="26"/>
          <w:shd w:val="clear" w:color="auto" w:fill="FFFFFF"/>
          <w:lang w:val="vi-VN"/>
        </w:rPr>
        <w:t xml:space="preserve"> chính (KPI) để định lượng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của trung tâm dữ liệu trong giai đoạn sử dụng của vòng đời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CUE là một phương pháp đơn giản để báo cáo cường độ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khi vận hành trung tâm dữ liệu. Bằng cách báo cáo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có thể trình bày tác động của trung tâm dữ liệu đến biến đổi khí hậu (hiệu ứng nhà kính gia tăng).</w:t>
      </w:r>
    </w:p>
    <w:p w14:paraId="37AD97F2" w14:textId="49148ACA"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Hiệu suất sử dụng carbon CUE là tỷ số giữa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hàng năm của trung tâm dữ liệu và nhu cầu năng lượng của thiết bị CNTT.</w:t>
      </w:r>
    </w:p>
    <w:p w14:paraId="4F8BB07B" w14:textId="563729E5"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CUE</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C</m:t>
                  </m:r>
                </m:e>
                <m:sub>
                  <m:r>
                    <m:rPr>
                      <m:nor/>
                    </m:rPr>
                    <w:rPr>
                      <w:rFonts w:ascii="Times New Roman" w:hAnsi="Times New Roman"/>
                      <w:color w:val="000000" w:themeColor="text1"/>
                      <w:sz w:val="26"/>
                      <w:szCs w:val="26"/>
                      <w:shd w:val="clear" w:color="auto" w:fill="FFFFFF"/>
                      <w:lang w:val="vi-VN"/>
                    </w:rPr>
                    <m:t>DC</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IT</m:t>
                  </m:r>
                </m:sub>
              </m:sSub>
            </m:den>
          </m:f>
          <m:r>
            <m:rPr>
              <m:nor/>
            </m:rPr>
            <w:rPr>
              <w:rFonts w:ascii="Times New Roman" w:hAnsi="Times New Roman"/>
              <w:color w:val="000000" w:themeColor="text1"/>
              <w:sz w:val="26"/>
              <w:szCs w:val="26"/>
              <w:shd w:val="clear" w:color="auto" w:fill="FFFFFF"/>
              <w:lang w:val="vi-VN"/>
            </w:rPr>
            <m:t xml:space="preserve">     (5) </m:t>
          </m:r>
          <m:r>
            <m:rPr>
              <m:sty m:val="p"/>
            </m:rPr>
            <w:rPr>
              <w:rFonts w:ascii="Cambria Math" w:hAnsi="Cambria Math"/>
              <w:color w:val="000000" w:themeColor="text1"/>
              <w:sz w:val="26"/>
              <w:szCs w:val="26"/>
              <w:shd w:val="clear" w:color="auto" w:fill="FFFFFF"/>
              <w:lang w:val="vi-VN"/>
            </w:rPr>
            <m:t xml:space="preserve"> </m:t>
          </m:r>
        </m:oMath>
      </m:oMathPara>
    </w:p>
    <w:p w14:paraId="3CFE4EED" w14:textId="60D4DF75"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DA2882">
        <w:rPr>
          <w:rFonts w:ascii="Times New Roman" w:hAnsi="Times New Roman"/>
          <w:color w:val="000000" w:themeColor="text1"/>
          <w:sz w:val="26"/>
          <w:szCs w:val="26"/>
          <w:shd w:val="clear" w:color="auto" w:fill="FFFFFF"/>
          <w:lang w:val="vi-VN"/>
        </w:rPr>
        <w:tab/>
      </w:r>
      <w:r w:rsidR="001917F8">
        <w:rPr>
          <w:rFonts w:ascii="Times New Roman" w:hAnsi="Times New Roman"/>
          <w:color w:val="000000" w:themeColor="text1"/>
          <w:sz w:val="26"/>
          <w:szCs w:val="26"/>
          <w:shd w:val="clear" w:color="auto" w:fill="FFFFFF"/>
          <w:lang w:val="vi-VN"/>
        </w:rPr>
        <w:t xml:space="preserve">- </w:t>
      </w:r>
      <w:r w:rsidRPr="00DA2882">
        <w:rPr>
          <w:rFonts w:ascii="Times New Roman" w:hAnsi="Times New Roman"/>
          <w:color w:val="000000" w:themeColor="text1"/>
          <w:sz w:val="26"/>
          <w:szCs w:val="26"/>
          <w:shd w:val="clear" w:color="auto" w:fill="FFFFFF"/>
          <w:lang w:val="vi-VN"/>
        </w:rPr>
        <w:t>Hệ số CUE càng thấp thì càng tốt. Giá trị lý tưởng là 0, có nghĩa là không có lượng khí thải carbon.</w:t>
      </w:r>
    </w:p>
    <w:p w14:paraId="0326B7B0" w14:textId="3D28FAFB"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Hiệu suất sử dụng nước WUE</w:t>
      </w:r>
      <w:r>
        <w:rPr>
          <w:rFonts w:ascii="Times New Roman" w:hAnsi="Times New Roman"/>
          <w:i/>
          <w:iCs/>
          <w:color w:val="000000" w:themeColor="text1"/>
          <w:sz w:val="26"/>
          <w:szCs w:val="26"/>
          <w:lang w:val="vi-VN"/>
        </w:rPr>
        <w:t>:</w:t>
      </w:r>
    </w:p>
    <w:p w14:paraId="563A006E" w14:textId="72F5B092"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Hiệu suất sử dụng nước (WUE) như một </w:t>
      </w:r>
      <w:r w:rsidR="00901B21">
        <w:rPr>
          <w:rFonts w:ascii="Times New Roman" w:hAnsi="Times New Roman"/>
          <w:color w:val="000000" w:themeColor="text1"/>
          <w:sz w:val="26"/>
          <w:szCs w:val="26"/>
          <w:shd w:val="clear" w:color="auto" w:fill="FFFFFF"/>
          <w:lang w:val="vi-VN"/>
        </w:rPr>
        <w:t>chỉ số chất lượng</w:t>
      </w:r>
      <w:r w:rsidR="00DA2882" w:rsidRPr="00DA2882">
        <w:rPr>
          <w:rFonts w:ascii="Times New Roman" w:hAnsi="Times New Roman"/>
          <w:color w:val="000000" w:themeColor="text1"/>
          <w:sz w:val="26"/>
          <w:szCs w:val="26"/>
          <w:shd w:val="clear" w:color="auto" w:fill="FFFFFF"/>
          <w:lang w:val="vi-VN"/>
        </w:rPr>
        <w:t xml:space="preserve"> chính (KPI) để định lượng mức tiêu thụ nước của trung tâm dữ liệu trong giai đoạn sử dụng của vòng đời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WUE là một phương pháp đơn giản để báo cáo mức độ tiêu thụ nước khi vận hành trung tâm dữ liệu. Bằng việc báo cáo mức tiêu thụ nước, có thể thể hiện hiệu suất sử dụng tài nguyên của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Hiệu suất sử dụng nước (WUE) tỷ lệ giữa lượng nước tiêu thụ của trung tâm dữ liệu chia cho năng lượng tiêu thụ bởi thiết bị CNTT.</w:t>
      </w:r>
    </w:p>
    <w:p w14:paraId="0A2F4E63"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WUE</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C</m:t>
                  </m:r>
                </m:e>
                <m:sub>
                  <m:r>
                    <m:rPr>
                      <m:nor/>
                    </m:rPr>
                    <w:rPr>
                      <w:rFonts w:ascii="Times New Roman" w:hAnsi="Times New Roman"/>
                      <w:color w:val="000000" w:themeColor="text1"/>
                      <w:sz w:val="26"/>
                      <w:szCs w:val="26"/>
                      <w:shd w:val="clear" w:color="auto" w:fill="FFFFFF"/>
                      <w:lang w:val="vi-VN"/>
                    </w:rPr>
                    <m:t>W</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IT</m:t>
                  </m:r>
                </m:sub>
              </m:sSub>
            </m:den>
          </m:f>
          <m:r>
            <m:rPr>
              <m:nor/>
            </m:rPr>
            <w:rPr>
              <w:rFonts w:ascii="Times New Roman" w:hAnsi="Times New Roman"/>
              <w:color w:val="000000" w:themeColor="text1"/>
              <w:sz w:val="26"/>
              <w:szCs w:val="26"/>
              <w:shd w:val="clear" w:color="auto" w:fill="FFFFFF"/>
              <w:lang w:val="vi-VN"/>
            </w:rPr>
            <m:t xml:space="preserve">     (6) </m:t>
          </m:r>
          <m:r>
            <m:rPr>
              <m:sty m:val="p"/>
            </m:rPr>
            <w:rPr>
              <w:rFonts w:ascii="Cambria Math" w:hAnsi="Cambria Math"/>
              <w:color w:val="000000" w:themeColor="text1"/>
              <w:sz w:val="26"/>
              <w:szCs w:val="26"/>
              <w:shd w:val="clear" w:color="auto" w:fill="FFFFFF"/>
              <w:lang w:val="vi-VN"/>
            </w:rPr>
            <m:t xml:space="preserve"> </m:t>
          </m:r>
        </m:oMath>
      </m:oMathPara>
    </w:p>
    <w:p w14:paraId="555B51DB" w14:textId="77777777" w:rsidR="001917F8"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Tại Việt Nam, q</w:t>
      </w:r>
      <w:r w:rsidRPr="001917F8">
        <w:rPr>
          <w:rFonts w:ascii="Times New Roman" w:hAnsi="Times New Roman"/>
          <w:color w:val="000000" w:themeColor="text1"/>
          <w:sz w:val="26"/>
          <w:szCs w:val="26"/>
          <w:shd w:val="clear" w:color="auto" w:fill="FFFFFF"/>
          <w:lang w:val="vi-VN"/>
        </w:rPr>
        <w:t>uan điểm xây dựng Trung tâm Dữ liệu quốc gia được Chính phủ xác định theo tiêu chuẩn quốc tế, phải phù hợp với chủ trương, đường lối của Đảng, chính sách, pháp luật của Nhà nước, với các quy hoạch, chiến lược phát triển quốc gia; bảo đảm tính thống nhất, đồng bộ với sự phát triển của cá cơ sở dữ liệu quốc gia và tiến trình chuyển đổi số quốc gia, phù hợp với kiến trúc Chính phủ điện tử, góp phần xây dựng, phát triển Chính phủ số, kinh tế số và xã hội số. </w:t>
      </w:r>
    </w:p>
    <w:p w14:paraId="225FD785" w14:textId="03880A96" w:rsidR="001917F8"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1917F8">
        <w:rPr>
          <w:rFonts w:ascii="Times New Roman" w:hAnsi="Times New Roman"/>
          <w:color w:val="000000" w:themeColor="text1"/>
          <w:sz w:val="26"/>
          <w:szCs w:val="26"/>
          <w:shd w:val="clear" w:color="auto" w:fill="FFFFFF"/>
          <w:lang w:val="vi-VN"/>
        </w:rPr>
        <w:t>Chính phủ vừa ban hành Nghị quyết số 175/NQ-CP ngày 30</w:t>
      </w:r>
      <w:r w:rsidR="00B07750">
        <w:rPr>
          <w:rFonts w:ascii="Times New Roman" w:hAnsi="Times New Roman"/>
          <w:color w:val="000000" w:themeColor="text1"/>
          <w:sz w:val="26"/>
          <w:szCs w:val="26"/>
          <w:shd w:val="clear" w:color="auto" w:fill="FFFFFF"/>
          <w:lang w:val="vi-VN"/>
        </w:rPr>
        <w:t xml:space="preserve"> tháng </w:t>
      </w:r>
      <w:r w:rsidRPr="001917F8">
        <w:rPr>
          <w:rFonts w:ascii="Times New Roman" w:hAnsi="Times New Roman"/>
          <w:color w:val="000000" w:themeColor="text1"/>
          <w:sz w:val="26"/>
          <w:szCs w:val="26"/>
          <w:shd w:val="clear" w:color="auto" w:fill="FFFFFF"/>
          <w:lang w:val="vi-VN"/>
        </w:rPr>
        <w:t>10</w:t>
      </w:r>
      <w:r w:rsidR="00B07750">
        <w:rPr>
          <w:rFonts w:ascii="Times New Roman" w:hAnsi="Times New Roman"/>
          <w:color w:val="000000" w:themeColor="text1"/>
          <w:sz w:val="26"/>
          <w:szCs w:val="26"/>
          <w:shd w:val="clear" w:color="auto" w:fill="FFFFFF"/>
          <w:lang w:val="vi-VN"/>
        </w:rPr>
        <w:t xml:space="preserve"> năm </w:t>
      </w:r>
      <w:r w:rsidRPr="001917F8">
        <w:rPr>
          <w:rFonts w:ascii="Times New Roman" w:hAnsi="Times New Roman"/>
          <w:color w:val="000000" w:themeColor="text1"/>
          <w:sz w:val="26"/>
          <w:szCs w:val="26"/>
          <w:shd w:val="clear" w:color="auto" w:fill="FFFFFF"/>
          <w:lang w:val="vi-VN"/>
        </w:rPr>
        <w:t>2023 phê duyệt Đề án Trung tâm Dữ liệu quốc gia, theo đó:</w:t>
      </w:r>
    </w:p>
    <w:p w14:paraId="2DF60E7F" w14:textId="61A0C071"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Xây dựng Trung tâm dữ liệu quốc gia phải phù hợp với chủ trương, đường lối của Đảng, chính sách, pháp luật của Nhà nước; phù hợp với các quy hoạch, chiến lược phát triển quốc gia; bảo đảm tính thống nhất, đồng bộ với sự phát triển của các cơ sở dữ liệu quốc gia và tiến trình chuyển đổi số quốc gia, phù hợp với kiến trúc Chính phủ điện tử, góp phần xây dựng, phát triển Chính phủ số, kinh tế số và xã hội số. Mục tiêu, nhiệm vụ và giải pháp triển khai Đề án phải có tính khả thi, bảo đảm việc xây dựng, quản lý, khai thác Trung tâm dữ liệu quốc gia hiệu quả, bền vững.</w:t>
      </w:r>
    </w:p>
    <w:p w14:paraId="5396EA3A" w14:textId="5E0B9E3B"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lastRenderedPageBreak/>
        <w:t xml:space="preserve">- </w:t>
      </w:r>
      <w:r w:rsidRPr="00DA29A0">
        <w:rPr>
          <w:rFonts w:ascii="Times New Roman" w:hAnsi="Times New Roman"/>
          <w:color w:val="000000" w:themeColor="text1"/>
          <w:sz w:val="26"/>
          <w:szCs w:val="26"/>
          <w:shd w:val="clear" w:color="auto" w:fill="FFFFFF"/>
          <w:lang w:val="vi-VN"/>
        </w:rPr>
        <w:t>Xây dựng Trung tâm dữ liệu quốc gia theo các tiêu chuẩn quốc gia và quốc tế, phù hợp với xu thế và xứng tầm thế giới. Công tác triển khai cần thực hiện nhanh nhằm tạo nền tảng để thay đổi một cách căn bản, toàn diện việc thu thập, lưu trữ, quản lý, cung cấp, tích hợp, chia sẻ thông tin, phân tích dữ liệu của Chính phủ bảo đảm mục tiêu quản lý xã hội, chỉ đạo điều hành, cung cấp dịch vụ công và tiện ích cho người dân và thúc đẩy phát triển kinh tế - xã hội; sản phẩm tạo ra phải là công cụ giải quyết, tháo gỡ các điểm nghẽn, cũng như tạo đột phá trong phát triển cơ sở dữ liệu quốc gia và các hệ thống cơ sở dữ liệu khác hình thành trong tương lai. Trung tâm dữ liệu quốc gia phải trở thành một thành phần hạ tầng số quan trọng phục vụ phát triển kinh tế và quản lý xã hội phù hợp với đặc điểm của Việt Nam.</w:t>
      </w:r>
    </w:p>
    <w:p w14:paraId="30773311" w14:textId="14DDB9C8" w:rsidR="00B07750" w:rsidRDefault="00B07750"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Bên cạnh đó, Chính phủ cũng ban hành Quyết định số 1322/QĐ-TTg ngày 31 tháng 8 năm 2020 phê duyệt chương trình quốc gia hỗ trợ doanh nghiệp nâng cao năng suất và chất lượng sảm phẩm, hàng hoá giai đoạn 2021-2030, với mục tiêu chung:</w:t>
      </w:r>
    </w:p>
    <w:p w14:paraId="7DBE2097" w14:textId="665D23CE" w:rsidR="00B07750" w:rsidRDefault="00B07750"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B07750">
        <w:rPr>
          <w:rFonts w:ascii="Times New Roman" w:hAnsi="Times New Roman"/>
          <w:color w:val="000000" w:themeColor="text1"/>
          <w:sz w:val="26"/>
          <w:szCs w:val="26"/>
          <w:shd w:val="clear" w:color="auto" w:fill="FFFFFF"/>
          <w:lang w:val="vi-VN"/>
        </w:rPr>
        <w:t>Hỗ trợ doanh nghiệp nâng cao năng suất và chất lượng sản phẩm, hàng hóa (sau đây gọi chung là năng suất chất lượng) trên cơ sở áp dụng các giải pháp về tiêu chuẩn, quy chuẩn kỹ thuật, hệ thống quản lý, công cụ cải tiến năng suất chất lượng, góp phần nâng tỷ trọng đóng góp của năng suất các nhân tố tổng hợp (TFP) vào tăng trưởng kinh tế, nâng cao năng suất, chất lượng, hiệu quả và sức cạnh tranh của nền kinh tế.</w:t>
      </w:r>
    </w:p>
    <w:p w14:paraId="4AC5A01D" w14:textId="77777777" w:rsidR="00DA29A0" w:rsidRDefault="00DA29A0" w:rsidP="00DA29A0">
      <w:pPr>
        <w:snapToGrid w:val="0"/>
        <w:spacing w:before="120" w:after="120" w:line="288" w:lineRule="auto"/>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và mục tiêu cụ thể:</w:t>
      </w:r>
    </w:p>
    <w:p w14:paraId="28C02559" w14:textId="709177CE"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Giai đoạn 2021 - 2025: Tỷ lệ hài hòa của hệ thống tiêu chuẩn quốc gia với tiêu chuẩn quốc tế, tiêu chuẩn khu vực đạt khoảng 65%.</w:t>
      </w:r>
    </w:p>
    <w:p w14:paraId="48AA7E54" w14:textId="41FF3CD4"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Giai đoạn 2026 - 2030:</w:t>
      </w: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Tỷ lệ hài hòa của hệ thống tiêu chuẩn quốc gia với tiêu chuẩn quốc tế, tiêu chuẩn khu vực đạt khoảng 70 - 75%.</w:t>
      </w:r>
    </w:p>
    <w:p w14:paraId="2823B6ED" w14:textId="2B73393D" w:rsidR="0093557C" w:rsidRPr="00CC68B8" w:rsidRDefault="00CC68B8" w:rsidP="0093557C">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CC68B8">
        <w:rPr>
          <w:rFonts w:ascii="Times New Roman" w:hAnsi="Times New Roman"/>
          <w:color w:val="000000" w:themeColor="text1"/>
          <w:sz w:val="26"/>
          <w:szCs w:val="26"/>
          <w:shd w:val="clear" w:color="auto" w:fill="FFFFFF"/>
          <w:lang w:val="vi-VN"/>
        </w:rPr>
        <w:t>Qua</w:t>
      </w:r>
      <w:r w:rsidR="0093557C" w:rsidRPr="00CC68B8">
        <w:rPr>
          <w:rFonts w:ascii="Times New Roman" w:hAnsi="Times New Roman"/>
          <w:color w:val="000000" w:themeColor="text1"/>
          <w:sz w:val="26"/>
          <w:szCs w:val="26"/>
          <w:shd w:val="clear" w:color="auto" w:fill="FFFFFF"/>
          <w:lang w:val="vi-VN"/>
        </w:rPr>
        <w:t xml:space="preserve"> </w:t>
      </w:r>
      <w:r w:rsidR="00DA29A0" w:rsidRPr="00CC68B8">
        <w:rPr>
          <w:rFonts w:ascii="Times New Roman" w:hAnsi="Times New Roman"/>
          <w:color w:val="000000" w:themeColor="text1"/>
          <w:sz w:val="26"/>
          <w:szCs w:val="26"/>
          <w:shd w:val="clear" w:color="auto" w:fill="FFFFFF"/>
          <w:lang w:val="vi-VN"/>
        </w:rPr>
        <w:t xml:space="preserve">hai </w:t>
      </w:r>
      <w:r w:rsidR="0093557C" w:rsidRPr="00CC68B8">
        <w:rPr>
          <w:rFonts w:ascii="Times New Roman" w:hAnsi="Times New Roman"/>
          <w:color w:val="000000" w:themeColor="text1"/>
          <w:sz w:val="26"/>
          <w:szCs w:val="26"/>
          <w:shd w:val="clear" w:color="auto" w:fill="FFFFFF"/>
          <w:lang w:val="vi-VN"/>
        </w:rPr>
        <w:t>quyết định này</w:t>
      </w:r>
      <w:r w:rsidRPr="00CC68B8">
        <w:rPr>
          <w:rFonts w:ascii="Times New Roman" w:hAnsi="Times New Roman"/>
          <w:color w:val="000000" w:themeColor="text1"/>
          <w:sz w:val="26"/>
          <w:szCs w:val="26"/>
          <w:shd w:val="clear" w:color="auto" w:fill="FFFFFF"/>
          <w:lang w:val="vi-VN"/>
        </w:rPr>
        <w:t xml:space="preserve"> </w:t>
      </w:r>
      <w:r w:rsidR="0093557C" w:rsidRPr="00CC68B8">
        <w:rPr>
          <w:rFonts w:ascii="Times New Roman" w:hAnsi="Times New Roman"/>
          <w:color w:val="000000" w:themeColor="text1"/>
          <w:sz w:val="26"/>
          <w:szCs w:val="26"/>
          <w:shd w:val="clear" w:color="auto" w:fill="FFFFFF"/>
          <w:lang w:val="vi-VN"/>
        </w:rPr>
        <w:t xml:space="preserve">nhận thấy </w:t>
      </w:r>
      <w:r w:rsidRPr="00CC68B8">
        <w:rPr>
          <w:rFonts w:ascii="Times New Roman" w:hAnsi="Times New Roman"/>
          <w:color w:val="000000" w:themeColor="text1"/>
          <w:sz w:val="26"/>
          <w:szCs w:val="26"/>
          <w:shd w:val="clear" w:color="auto" w:fill="FFFFFF"/>
          <w:lang w:val="vi-VN"/>
        </w:rPr>
        <w:t xml:space="preserve">rằng </w:t>
      </w:r>
      <w:r w:rsidR="0093557C" w:rsidRPr="00CC68B8">
        <w:rPr>
          <w:rFonts w:ascii="Times New Roman" w:hAnsi="Times New Roman"/>
          <w:color w:val="000000" w:themeColor="text1"/>
          <w:sz w:val="26"/>
          <w:szCs w:val="26"/>
          <w:shd w:val="clear" w:color="auto" w:fill="FFFFFF"/>
          <w:lang w:val="vi-VN"/>
        </w:rPr>
        <w:t xml:space="preserve">tầm quan trọng của </w:t>
      </w:r>
      <w:r>
        <w:rPr>
          <w:rFonts w:ascii="Times New Roman" w:hAnsi="Times New Roman"/>
          <w:color w:val="000000" w:themeColor="text1"/>
          <w:sz w:val="26"/>
          <w:szCs w:val="26"/>
          <w:shd w:val="clear" w:color="auto" w:fill="FFFFFF"/>
          <w:lang w:val="vi-VN"/>
        </w:rPr>
        <w:t>t</w:t>
      </w:r>
      <w:r w:rsidRPr="00CC68B8">
        <w:rPr>
          <w:rFonts w:ascii="Times New Roman" w:hAnsi="Times New Roman"/>
          <w:color w:val="000000" w:themeColor="text1"/>
          <w:sz w:val="26"/>
          <w:szCs w:val="26"/>
          <w:shd w:val="clear" w:color="auto" w:fill="FFFFFF"/>
          <w:lang w:val="vi-VN"/>
        </w:rPr>
        <w:t>rung tâm dữ liệu khi đưa vào triển khai hoạt động sẽ là tiền đề để thúc đẩy quá trình phát triển và đẩy mạnh khai thác các cơ sở dữ liệu quốc gia phục vụ phát triển kinh tế - xã hội; góp phần thực hiện mục tiêu nâng tầm chiến lược phát triển kinh tế số của Việt Nam theo kịp các quốc gia trên thế giới, bảo đảm điều kiện cho Việt Nam phát triển và hòa nhập với nền kinh tế số của thế giới.</w:t>
      </w:r>
      <w:r>
        <w:rPr>
          <w:rFonts w:ascii="Times New Roman" w:hAnsi="Times New Roman"/>
          <w:color w:val="000000" w:themeColor="text1"/>
          <w:sz w:val="26"/>
          <w:szCs w:val="26"/>
          <w:shd w:val="clear" w:color="auto" w:fill="FFFFFF"/>
          <w:lang w:val="vi-VN"/>
        </w:rPr>
        <w:t xml:space="preserve"> </w:t>
      </w:r>
      <w:r w:rsidR="0093557C" w:rsidRPr="00CC68B8">
        <w:rPr>
          <w:rFonts w:ascii="Times New Roman" w:hAnsi="Times New Roman"/>
          <w:color w:val="000000" w:themeColor="text1"/>
          <w:sz w:val="26"/>
          <w:szCs w:val="26"/>
          <w:shd w:val="clear" w:color="auto" w:fill="FFFFFF"/>
          <w:lang w:val="vi-VN"/>
        </w:rPr>
        <w:t xml:space="preserve">Vì vậy, việc xây dựng hệ thống văn bản quy phạm pháp luật và hành lang pháp lý liên quan đến </w:t>
      </w:r>
      <w:r>
        <w:rPr>
          <w:rFonts w:ascii="Times New Roman" w:hAnsi="Times New Roman"/>
          <w:color w:val="000000" w:themeColor="text1"/>
          <w:sz w:val="26"/>
          <w:szCs w:val="26"/>
          <w:shd w:val="clear" w:color="auto" w:fill="FFFFFF"/>
          <w:lang w:val="vi-VN"/>
        </w:rPr>
        <w:t>TTDL</w:t>
      </w:r>
      <w:r w:rsidR="00281801">
        <w:rPr>
          <w:rFonts w:ascii="Times New Roman" w:hAnsi="Times New Roman"/>
          <w:color w:val="000000" w:themeColor="text1"/>
          <w:sz w:val="26"/>
          <w:szCs w:val="26"/>
          <w:shd w:val="clear" w:color="auto" w:fill="FFFFFF"/>
          <w:lang w:val="vi-VN"/>
        </w:rPr>
        <w:t>, đ</w:t>
      </w:r>
      <w:r>
        <w:rPr>
          <w:rFonts w:ascii="Times New Roman" w:hAnsi="Times New Roman"/>
          <w:color w:val="000000" w:themeColor="text1"/>
          <w:sz w:val="26"/>
          <w:szCs w:val="26"/>
          <w:shd w:val="clear" w:color="auto" w:fill="FFFFFF"/>
          <w:lang w:val="vi-VN"/>
        </w:rPr>
        <w:t xml:space="preserve">ặc biệt, việc xây dựng và ban hành các tiêu chuân về các chỉ số chất lượng chính (KPI) </w:t>
      </w:r>
      <w:r w:rsidR="00281801">
        <w:rPr>
          <w:rFonts w:ascii="Times New Roman" w:hAnsi="Times New Roman"/>
          <w:color w:val="000000" w:themeColor="text1"/>
          <w:sz w:val="26"/>
          <w:szCs w:val="26"/>
          <w:shd w:val="clear" w:color="auto" w:fill="FFFFFF"/>
          <w:lang w:val="vi-VN"/>
        </w:rPr>
        <w:t xml:space="preserve">liên quan đến hiệu suất sử dụng điện </w:t>
      </w:r>
      <w:r>
        <w:rPr>
          <w:rFonts w:ascii="Times New Roman" w:hAnsi="Times New Roman"/>
          <w:color w:val="000000" w:themeColor="text1"/>
          <w:sz w:val="26"/>
          <w:szCs w:val="26"/>
          <w:shd w:val="clear" w:color="auto" w:fill="FFFFFF"/>
          <w:lang w:val="vi-VN"/>
        </w:rPr>
        <w:t xml:space="preserve">khuyến khích </w:t>
      </w:r>
      <w:r w:rsidR="00281801">
        <w:rPr>
          <w:rFonts w:ascii="Times New Roman" w:hAnsi="Times New Roman"/>
          <w:color w:val="000000" w:themeColor="text1"/>
          <w:sz w:val="26"/>
          <w:szCs w:val="26"/>
          <w:shd w:val="clear" w:color="auto" w:fill="FFFFFF"/>
          <w:lang w:val="vi-VN"/>
        </w:rPr>
        <w:t xml:space="preserve">các đơn vị, doanh nghiệp </w:t>
      </w:r>
      <w:r>
        <w:rPr>
          <w:rFonts w:ascii="Times New Roman" w:hAnsi="Times New Roman"/>
          <w:color w:val="000000" w:themeColor="text1"/>
          <w:sz w:val="26"/>
          <w:szCs w:val="26"/>
          <w:shd w:val="clear" w:color="auto" w:fill="FFFFFF"/>
          <w:lang w:val="vi-VN"/>
        </w:rPr>
        <w:t xml:space="preserve">tuân thủ các quy định trong việc thiết kế, vận hành, duy trì và khai thác các TTDL nhằm </w:t>
      </w:r>
      <w:r w:rsidR="00281801" w:rsidRPr="00B07750">
        <w:rPr>
          <w:rFonts w:ascii="Times New Roman" w:hAnsi="Times New Roman"/>
          <w:color w:val="000000" w:themeColor="text1"/>
          <w:sz w:val="26"/>
          <w:szCs w:val="26"/>
          <w:shd w:val="clear" w:color="auto" w:fill="FFFFFF"/>
          <w:lang w:val="vi-VN"/>
        </w:rPr>
        <w:t>tăng trưởng kinh tế, nâng cao năng suất, chất lượng, hiệu quả và sức cạnh tranh của nền kinh tế</w:t>
      </w:r>
      <w:r w:rsidR="00281801">
        <w:rPr>
          <w:rFonts w:ascii="Times New Roman" w:hAnsi="Times New Roman"/>
          <w:color w:val="000000" w:themeColor="text1"/>
          <w:sz w:val="26"/>
          <w:szCs w:val="26"/>
          <w:shd w:val="clear" w:color="auto" w:fill="FFFFFF"/>
          <w:lang w:val="vi-VN"/>
        </w:rPr>
        <w:t>; giúp người dân được thụ hưởng các dịch vụ tốt nhất, giá thành rẻ nhất do TTDL mang lại là cấp thiết.</w:t>
      </w:r>
    </w:p>
    <w:p w14:paraId="3BD31804" w14:textId="64EA4F16" w:rsidR="00142DA0" w:rsidRPr="00C563BD" w:rsidRDefault="00142DA0"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15" w:name="_Toc458629993"/>
      <w:bookmarkStart w:id="16" w:name="_Toc458723977"/>
      <w:bookmarkStart w:id="17" w:name="_Toc458807994"/>
      <w:bookmarkStart w:id="18" w:name="_Toc463326098"/>
      <w:bookmarkStart w:id="19" w:name="_Toc464687970"/>
      <w:bookmarkStart w:id="20" w:name="_Toc464688029"/>
      <w:bookmarkStart w:id="21" w:name="_Toc464688262"/>
      <w:bookmarkStart w:id="22" w:name="_Toc464688415"/>
      <w:bookmarkStart w:id="23" w:name="_Toc464688473"/>
      <w:bookmarkStart w:id="24" w:name="_Toc464688532"/>
      <w:bookmarkStart w:id="25" w:name="_Toc464705192"/>
      <w:bookmarkStart w:id="26" w:name="_Toc466038325"/>
      <w:bookmarkStart w:id="27" w:name="_Toc173371017"/>
      <w:bookmarkEnd w:id="15"/>
      <w:bookmarkEnd w:id="16"/>
      <w:bookmarkEnd w:id="17"/>
      <w:bookmarkEnd w:id="18"/>
      <w:bookmarkEnd w:id="19"/>
      <w:bookmarkEnd w:id="20"/>
      <w:bookmarkEnd w:id="21"/>
      <w:bookmarkEnd w:id="22"/>
      <w:bookmarkEnd w:id="23"/>
      <w:bookmarkEnd w:id="24"/>
      <w:bookmarkEnd w:id="25"/>
      <w:bookmarkEnd w:id="26"/>
      <w:r w:rsidRPr="00C563BD">
        <w:rPr>
          <w:rFonts w:ascii="Times New Roman" w:hAnsi="Times New Roman"/>
          <w:color w:val="000000"/>
          <w:sz w:val="26"/>
          <w:szCs w:val="26"/>
        </w:rPr>
        <w:lastRenderedPageBreak/>
        <w:t xml:space="preserve">Tình hình chuẩn hoá </w:t>
      </w:r>
      <w:r w:rsidR="00281801">
        <w:rPr>
          <w:rFonts w:ascii="Times New Roman" w:hAnsi="Times New Roman"/>
          <w:color w:val="000000"/>
          <w:sz w:val="26"/>
          <w:szCs w:val="26"/>
          <w:lang w:val="vi-VN"/>
        </w:rPr>
        <w:t>các chỉ số chất lượng chính (KPI) của trung tâm dữ liệu trên thế giới</w:t>
      </w:r>
      <w:bookmarkEnd w:id="27"/>
    </w:p>
    <w:p w14:paraId="20B73F3F" w14:textId="32FD6AC7" w:rsidR="0093557C" w:rsidRPr="00C563BD" w:rsidRDefault="0093557C" w:rsidP="0093557C">
      <w:pPr>
        <w:snapToGrid w:val="0"/>
        <w:spacing w:before="120" w:after="120" w:line="288" w:lineRule="auto"/>
        <w:ind w:firstLine="709"/>
        <w:jc w:val="both"/>
        <w:rPr>
          <w:rFonts w:ascii="Times New Roman" w:hAnsi="Times New Roman"/>
          <w:color w:val="000000"/>
          <w:sz w:val="26"/>
          <w:szCs w:val="26"/>
          <w:lang w:val="vi-VN"/>
        </w:rPr>
      </w:pPr>
      <w:bookmarkStart w:id="28" w:name="_Toc116446057"/>
      <w:bookmarkStart w:id="29" w:name="_Toc116484856"/>
      <w:bookmarkStart w:id="30" w:name="_Toc118533201"/>
      <w:bookmarkEnd w:id="28"/>
      <w:bookmarkEnd w:id="29"/>
      <w:bookmarkEnd w:id="30"/>
      <w:r w:rsidRPr="00C563BD">
        <w:rPr>
          <w:rFonts w:ascii="Times New Roman" w:hAnsi="Times New Roman"/>
          <w:color w:val="000000"/>
          <w:sz w:val="26"/>
          <w:szCs w:val="26"/>
        </w:rPr>
        <w:t xml:space="preserve">Trong những năm gần đây, các tổ chức tiêu chuẩn quốc tế cũng như nhiều quốc gia, khu vực đang nỗ lực xúc tiến nghiên cứu và thực hiện tiêu chuẩn hoá về </w:t>
      </w:r>
      <w:r w:rsidR="00281801">
        <w:rPr>
          <w:rFonts w:ascii="Times New Roman" w:hAnsi="Times New Roman"/>
          <w:color w:val="000000"/>
          <w:sz w:val="26"/>
          <w:szCs w:val="26"/>
        </w:rPr>
        <w:t>các</w:t>
      </w:r>
      <w:r w:rsidR="00281801">
        <w:rPr>
          <w:rFonts w:ascii="Times New Roman" w:hAnsi="Times New Roman"/>
          <w:color w:val="000000"/>
          <w:sz w:val="26"/>
          <w:szCs w:val="26"/>
          <w:lang w:val="vi-VN"/>
        </w:rPr>
        <w:t xml:space="preserve"> chỉ số chất lượng chính của TTDL</w:t>
      </w:r>
      <w:r w:rsidRPr="00C563BD">
        <w:rPr>
          <w:rFonts w:ascii="Times New Roman" w:hAnsi="Times New Roman"/>
          <w:color w:val="000000"/>
          <w:sz w:val="26"/>
          <w:szCs w:val="26"/>
        </w:rPr>
        <w:t>, điển hình là ISO/IEC, ITU, NIST</w:t>
      </w:r>
      <w:r w:rsidRPr="00C563BD">
        <w:rPr>
          <w:rFonts w:ascii="Times New Roman" w:hAnsi="Times New Roman"/>
          <w:color w:val="000000"/>
          <w:sz w:val="26"/>
          <w:szCs w:val="26"/>
          <w:lang w:val="vi-VN"/>
        </w:rPr>
        <w:t>.</w:t>
      </w:r>
    </w:p>
    <w:p w14:paraId="1637B56E" w14:textId="77777777" w:rsidR="00D57DAA" w:rsidRPr="00C563BD" w:rsidRDefault="00D57DAA" w:rsidP="00E75252">
      <w:pPr>
        <w:pStyle w:val="ListParagraph"/>
        <w:keepNext/>
        <w:keepLines/>
        <w:numPr>
          <w:ilvl w:val="0"/>
          <w:numId w:val="11"/>
        </w:numPr>
        <w:spacing w:before="120" w:after="120" w:line="240" w:lineRule="auto"/>
        <w:contextualSpacing w:val="0"/>
        <w:outlineLvl w:val="1"/>
        <w:rPr>
          <w:rFonts w:ascii="Times New Roman" w:hAnsi="Times New Roman"/>
          <w:b/>
          <w:bCs/>
          <w:vanish/>
          <w:color w:val="4F81BD"/>
          <w:sz w:val="26"/>
          <w:szCs w:val="26"/>
        </w:rPr>
      </w:pPr>
      <w:bookmarkStart w:id="31" w:name="_Toc119025750"/>
      <w:bookmarkStart w:id="32" w:name="_Toc127633114"/>
      <w:bookmarkStart w:id="33" w:name="_Toc173371018"/>
      <w:bookmarkEnd w:id="31"/>
      <w:bookmarkEnd w:id="32"/>
      <w:bookmarkEnd w:id="33"/>
    </w:p>
    <w:p w14:paraId="72380617" w14:textId="77777777" w:rsidR="00D57DAA" w:rsidRPr="00C563BD" w:rsidRDefault="00D57DAA" w:rsidP="00E75252">
      <w:pPr>
        <w:pStyle w:val="ListParagraph"/>
        <w:keepNext/>
        <w:keepLines/>
        <w:numPr>
          <w:ilvl w:val="0"/>
          <w:numId w:val="11"/>
        </w:numPr>
        <w:spacing w:before="120" w:after="120" w:line="240" w:lineRule="auto"/>
        <w:contextualSpacing w:val="0"/>
        <w:outlineLvl w:val="1"/>
        <w:rPr>
          <w:rFonts w:ascii="Times New Roman" w:hAnsi="Times New Roman"/>
          <w:b/>
          <w:bCs/>
          <w:vanish/>
          <w:color w:val="4F81BD"/>
          <w:sz w:val="26"/>
          <w:szCs w:val="26"/>
        </w:rPr>
      </w:pPr>
      <w:bookmarkStart w:id="34" w:name="_Toc458629994"/>
      <w:bookmarkStart w:id="35" w:name="_Toc458723978"/>
      <w:bookmarkStart w:id="36" w:name="_Toc458807995"/>
      <w:bookmarkStart w:id="37" w:name="_Toc463326099"/>
      <w:bookmarkStart w:id="38" w:name="_Toc464687971"/>
      <w:bookmarkStart w:id="39" w:name="_Toc464688030"/>
      <w:bookmarkStart w:id="40" w:name="_Toc464688263"/>
      <w:bookmarkStart w:id="41" w:name="_Toc464688416"/>
      <w:bookmarkStart w:id="42" w:name="_Toc464688474"/>
      <w:bookmarkStart w:id="43" w:name="_Toc464688533"/>
      <w:bookmarkStart w:id="44" w:name="_Toc464705193"/>
      <w:bookmarkStart w:id="45" w:name="_Toc466038326"/>
      <w:bookmarkStart w:id="46" w:name="_Toc116446058"/>
      <w:bookmarkStart w:id="47" w:name="_Toc116484857"/>
      <w:bookmarkStart w:id="48" w:name="_Toc118533202"/>
      <w:bookmarkStart w:id="49" w:name="_Toc119025751"/>
      <w:bookmarkStart w:id="50" w:name="_Toc127633115"/>
      <w:bookmarkStart w:id="51" w:name="_Toc173371019"/>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6987CB4" w14:textId="7E6BA20C" w:rsidR="00142DA0" w:rsidRPr="00C563BD" w:rsidRDefault="00142DA0" w:rsidP="00142DA0">
      <w:pPr>
        <w:pStyle w:val="Heading2"/>
        <w:numPr>
          <w:ilvl w:val="1"/>
          <w:numId w:val="15"/>
        </w:numPr>
        <w:snapToGrid w:val="0"/>
        <w:spacing w:before="120" w:after="120" w:line="264" w:lineRule="auto"/>
        <w:ind w:left="567" w:hanging="567"/>
        <w:rPr>
          <w:rFonts w:ascii="Times New Roman" w:hAnsi="Times New Roman"/>
          <w:color w:val="000000"/>
        </w:rPr>
      </w:pPr>
      <w:bookmarkStart w:id="52" w:name="_Toc173371020"/>
      <w:bookmarkEnd w:id="13"/>
      <w:r w:rsidRPr="00C563BD">
        <w:rPr>
          <w:rFonts w:ascii="Times New Roman" w:hAnsi="Times New Roman"/>
          <w:color w:val="000000"/>
          <w:lang w:val="vi-VN"/>
        </w:rPr>
        <w:t>C</w:t>
      </w:r>
      <w:r w:rsidRPr="00C563BD">
        <w:rPr>
          <w:rFonts w:ascii="Times New Roman" w:hAnsi="Times New Roman"/>
          <w:color w:val="000000"/>
        </w:rPr>
        <w:t>ác tổ chức tiêu chuẩn hoá quốc tế</w:t>
      </w:r>
      <w:bookmarkEnd w:id="52"/>
    </w:p>
    <w:p w14:paraId="7B10BCBD" w14:textId="2F8D5F1A" w:rsidR="00781674" w:rsidRDefault="00781674" w:rsidP="00142DA0">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3" w:name="_Toc173371021"/>
      <w:r w:rsidRPr="00C563BD">
        <w:rPr>
          <w:rFonts w:ascii="Times New Roman" w:hAnsi="Times New Roman"/>
          <w:color w:val="000000" w:themeColor="text1"/>
          <w:sz w:val="26"/>
          <w:szCs w:val="26"/>
          <w:lang w:val="vi-VN"/>
        </w:rPr>
        <w:t xml:space="preserve">Tổ chức </w:t>
      </w:r>
      <w:r w:rsidR="00C229A5">
        <w:rPr>
          <w:rFonts w:ascii="Times New Roman" w:hAnsi="Times New Roman"/>
          <w:color w:val="000000" w:themeColor="text1"/>
          <w:sz w:val="26"/>
          <w:szCs w:val="26"/>
          <w:lang w:val="vi-VN"/>
        </w:rPr>
        <w:t xml:space="preserve">tiêu chuẩn </w:t>
      </w:r>
      <w:r w:rsidRPr="00C563BD">
        <w:rPr>
          <w:rFonts w:ascii="Times New Roman" w:hAnsi="Times New Roman"/>
          <w:color w:val="000000" w:themeColor="text1"/>
          <w:sz w:val="26"/>
          <w:szCs w:val="26"/>
          <w:lang w:val="vi-VN"/>
        </w:rPr>
        <w:t>ISO/IEC</w:t>
      </w:r>
      <w:bookmarkEnd w:id="53"/>
    </w:p>
    <w:p w14:paraId="3BCEF359" w14:textId="19997C7F" w:rsidR="00C229A5" w:rsidRPr="00C229A5"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Tổ chưc tiêu chuẩn hoá quốc tế </w:t>
      </w:r>
      <w:r w:rsidR="00C229A5" w:rsidRPr="00C229A5">
        <w:rPr>
          <w:rFonts w:ascii="Times New Roman" w:hAnsi="Times New Roman"/>
          <w:color w:val="000000"/>
          <w:sz w:val="26"/>
          <w:szCs w:val="26"/>
          <w:lang w:val="vi-VN"/>
        </w:rPr>
        <w:t>ISO là một tổ chức quốc tế độc lập, phi chính phủ gồm hơn 165 thành viên là các cơ quan tiêu chuẩn quốc gia. Thông qua các thành viên, ISO tập hợp các chuyên gia để cùng chia sẻ kiến thức và xây dựng tiêu chuẩn quốc tế tự nguyện, dựa trên sự đồng thuận và thích hợp với thị trường, hỗ trợ đổi mới và cung cấp giải pháp đối với các thách thức toàn cầu.</w:t>
      </w:r>
    </w:p>
    <w:p w14:paraId="009518E3" w14:textId="2CA475BF" w:rsidR="00C229A5" w:rsidRDefault="00C229A5" w:rsidP="00C229A5">
      <w:pPr>
        <w:snapToGrid w:val="0"/>
        <w:spacing w:before="120" w:after="120" w:line="288" w:lineRule="auto"/>
        <w:ind w:firstLine="709"/>
        <w:jc w:val="both"/>
        <w:rPr>
          <w:rFonts w:ascii="Times New Roman" w:hAnsi="Times New Roman"/>
          <w:color w:val="000000"/>
          <w:sz w:val="26"/>
          <w:szCs w:val="26"/>
          <w:lang w:val="vi-VN"/>
        </w:rPr>
      </w:pPr>
      <w:r w:rsidRPr="00C229A5">
        <w:rPr>
          <w:rFonts w:ascii="Times New Roman" w:hAnsi="Times New Roman"/>
          <w:color w:val="000000"/>
          <w:sz w:val="26"/>
          <w:szCs w:val="26"/>
          <w:lang w:val="vi-VN"/>
        </w:rPr>
        <w:t xml:space="preserve">Ủy ban </w:t>
      </w:r>
      <w:r w:rsidR="00F03D50">
        <w:rPr>
          <w:rFonts w:ascii="Times New Roman" w:hAnsi="Times New Roman"/>
          <w:color w:val="000000"/>
          <w:sz w:val="26"/>
          <w:szCs w:val="26"/>
          <w:lang w:val="vi-VN"/>
        </w:rPr>
        <w:t>k</w:t>
      </w:r>
      <w:r w:rsidRPr="00C229A5">
        <w:rPr>
          <w:rFonts w:ascii="Times New Roman" w:hAnsi="Times New Roman"/>
          <w:color w:val="000000"/>
          <w:sz w:val="26"/>
          <w:szCs w:val="26"/>
          <w:lang w:val="vi-VN"/>
        </w:rPr>
        <w:t xml:space="preserve">ỹ thuật </w:t>
      </w:r>
      <w:r w:rsidR="00F03D50">
        <w:rPr>
          <w:rFonts w:ascii="Times New Roman" w:hAnsi="Times New Roman"/>
          <w:color w:val="000000"/>
          <w:sz w:val="26"/>
          <w:szCs w:val="26"/>
          <w:lang w:val="vi-VN"/>
        </w:rPr>
        <w:t>đ</w:t>
      </w:r>
      <w:r w:rsidRPr="00C229A5">
        <w:rPr>
          <w:rFonts w:ascii="Times New Roman" w:hAnsi="Times New Roman"/>
          <w:color w:val="000000"/>
          <w:sz w:val="26"/>
          <w:szCs w:val="26"/>
          <w:lang w:val="vi-VN"/>
        </w:rPr>
        <w:t>iện Quốc tế IEC là tổ chức hàng đầu thế giới chịu trách nhiệm xây dựng và công bố tiêu chuẩn quốc tế cho tất cả công nghệ điện, điện tử và các công nghệ liên quan, được gọi chung là “kỹ thuật điện”. IEC phục vụ thị trường và xã hội thế giới thông qua công tác tiêu chuẩn hóa và đánh giá sự phù hợp, cung cấp nền tảng cho các công ty, ngành công nghiệp và chính phủ có thể gặp gỡ, thảo luận và xây dựng các tiêu chuẩn quốc tế mà họ cần, thúc đẩy thương mại và tăng trưởng kinh tế thế giới, khuyến khích phát triển các sản phẩm, hệ thống, dịch vụ an toàn, hiệu quả và thân thiện với môi trường.</w:t>
      </w:r>
    </w:p>
    <w:p w14:paraId="0177E4E7" w14:textId="3832A1BF" w:rsidR="00C229A5" w:rsidRDefault="00C229A5"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Đ</w:t>
      </w:r>
      <w:r w:rsidR="00F03D50">
        <w:rPr>
          <w:rFonts w:ascii="Times New Roman" w:hAnsi="Times New Roman"/>
          <w:color w:val="000000"/>
          <w:sz w:val="26"/>
          <w:szCs w:val="26"/>
          <w:lang w:val="vi-VN"/>
        </w:rPr>
        <w:t>ể</w:t>
      </w:r>
      <w:r>
        <w:rPr>
          <w:rFonts w:ascii="Times New Roman" w:hAnsi="Times New Roman"/>
          <w:color w:val="000000"/>
          <w:sz w:val="26"/>
          <w:szCs w:val="26"/>
          <w:lang w:val="vi-VN"/>
        </w:rPr>
        <w:t xml:space="preserve"> giải quyết các hậu quả của sự chồng lấn thực tế trong lĩnh vực tiêu chuẩn hoá và các công việc liên quan đến công nghệ thông tin, ISO và IEC đã thành lập Uỷ ban kỹ thuật </w:t>
      </w:r>
      <w:r w:rsidR="00F03D50">
        <w:rPr>
          <w:rFonts w:ascii="Times New Roman" w:hAnsi="Times New Roman"/>
          <w:color w:val="000000"/>
          <w:sz w:val="26"/>
          <w:szCs w:val="26"/>
          <w:lang w:val="vi-VN"/>
        </w:rPr>
        <w:t>chung, có tên gọi là ISO/IEC JTC1. Uỷ ban này được uỷ nhiệm chính thức phát triển, duy trì, khuyến khích và thuận tiện hoá các tiêu chuẩn IT được các thị trường yêu cầu, phù hợp với các nhu cầu kinh doanh và người dùng. Bao gồm:</w:t>
      </w:r>
    </w:p>
    <w:p w14:paraId="7726D82A" w14:textId="7B3EA9ED"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Thiết kế và phát triển các hệ thống và công cụ IT;</w:t>
      </w:r>
    </w:p>
    <w:p w14:paraId="286FE3FA" w14:textId="4B41BF0E"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Tính thực thi và chất lượng các sản phẩm và hệ thống IT;</w:t>
      </w:r>
    </w:p>
    <w:p w14:paraId="12DAFD4D" w14:textId="4C84D03B"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An ninh của các hệ thống IT và thông tin;</w:t>
      </w:r>
    </w:p>
    <w:p w14:paraId="722432ED" w14:textId="7BF36DA6"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Tính linh động của các chương trình ứng dụng;</w:t>
      </w:r>
    </w:p>
    <w:p w14:paraId="367E6C99" w14:textId="75546F9B"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Thao tác giữa các bộ phận của các sản phẩm và hệ thống IT;</w:t>
      </w:r>
    </w:p>
    <w:p w14:paraId="766AFABC" w14:textId="1DA811D3"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Hợp nhất các công cụ và môi trường; hoà hợp từ vựng IT;</w:t>
      </w:r>
    </w:p>
    <w:p w14:paraId="7A2E26F8" w14:textId="1E57DE71" w:rsidR="00F03D50" w:rsidRPr="00C229A5"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Các giao diện người dùng thân thiện và hài hoà.</w:t>
      </w:r>
    </w:p>
    <w:p w14:paraId="5CAB62CA" w14:textId="39EE5EBF" w:rsidR="006D15BA" w:rsidRDefault="006D15BA" w:rsidP="0093557C">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Hướng đến các quy tắc ứng xử </w:t>
      </w:r>
      <w:r w:rsidR="00B250E0">
        <w:rPr>
          <w:rFonts w:ascii="Times New Roman" w:hAnsi="Times New Roman"/>
          <w:color w:val="000000"/>
          <w:sz w:val="26"/>
          <w:szCs w:val="26"/>
          <w:lang w:val="vi-VN"/>
        </w:rPr>
        <w:t xml:space="preserve">về hiệu quả năng lượng, giảm thiểu tác động và khuyến khích triển khai cơ sở hạ tầng thân thiện với môi trường do TTDL mang lại, ISO/IEC </w:t>
      </w:r>
      <w:r w:rsidR="00F03D50">
        <w:rPr>
          <w:rFonts w:ascii="Times New Roman" w:hAnsi="Times New Roman"/>
          <w:color w:val="000000"/>
          <w:sz w:val="26"/>
          <w:szCs w:val="26"/>
          <w:lang w:val="vi-VN"/>
        </w:rPr>
        <w:t xml:space="preserve">JTC1 </w:t>
      </w:r>
      <w:r w:rsidR="00B250E0">
        <w:rPr>
          <w:rFonts w:ascii="Times New Roman" w:hAnsi="Times New Roman"/>
          <w:color w:val="000000"/>
          <w:sz w:val="26"/>
          <w:szCs w:val="26"/>
          <w:lang w:val="vi-VN"/>
        </w:rPr>
        <w:t xml:space="preserve">đã ban hành bộ tiêu chuẩn ISO/IEC 30134 về các chỉ số chất lượng chính của trung tâm dữ liệu. Bộ tiêu chuẩn này gồm 9 phần đưa ra các khuyến nghị về yêu cầu </w:t>
      </w:r>
      <w:r w:rsidR="00B250E0">
        <w:rPr>
          <w:rFonts w:ascii="Times New Roman" w:hAnsi="Times New Roman"/>
          <w:color w:val="000000"/>
          <w:sz w:val="26"/>
          <w:szCs w:val="26"/>
          <w:lang w:val="vi-VN"/>
        </w:rPr>
        <w:lastRenderedPageBreak/>
        <w:t>chung, hiệu suất sử dụng năng lượng dưới dạng điện, hiệu suất tái tạo năng lượng, hiệu suất làm lạnh hiệu suất sử dụng CO2, hiệu suất sử dụng nước, … của một TTDL.</w:t>
      </w:r>
    </w:p>
    <w:p w14:paraId="288A0718" w14:textId="77777777" w:rsidR="00B250E0" w:rsidRDefault="00B250E0" w:rsidP="00B250E0">
      <w:pPr>
        <w:keepNext/>
        <w:snapToGrid w:val="0"/>
        <w:spacing w:before="120" w:after="120" w:line="288" w:lineRule="auto"/>
        <w:ind w:firstLine="142"/>
        <w:jc w:val="both"/>
      </w:pPr>
      <w:r>
        <w:rPr>
          <w:noProof/>
          <w:lang w:val="vi-VN"/>
        </w:rPr>
        <w:drawing>
          <wp:inline distT="0" distB="0" distL="0" distR="0" wp14:anchorId="24C4D1B6" wp14:editId="073568EA">
            <wp:extent cx="5641676" cy="3227705"/>
            <wp:effectExtent l="0" t="0" r="0" b="0"/>
            <wp:docPr id="44268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80525" name="Picture 4426805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2455" cy="3228151"/>
                    </a:xfrm>
                    <a:prstGeom prst="rect">
                      <a:avLst/>
                    </a:prstGeom>
                  </pic:spPr>
                </pic:pic>
              </a:graphicData>
            </a:graphic>
          </wp:inline>
        </w:drawing>
      </w:r>
    </w:p>
    <w:p w14:paraId="6DFE79A7" w14:textId="64BCFDDE" w:rsidR="00B250E0" w:rsidRPr="0003620D" w:rsidRDefault="00B250E0" w:rsidP="00F03D50">
      <w:pPr>
        <w:pStyle w:val="Caption"/>
        <w:jc w:val="center"/>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Hình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Hình \* ARABIC </w:instrText>
      </w:r>
      <w:r w:rsidRPr="0003620D">
        <w:rPr>
          <w:rFonts w:ascii="Times New Roman" w:hAnsi="Times New Roman"/>
          <w:color w:val="000000" w:themeColor="text1"/>
          <w:sz w:val="26"/>
          <w:szCs w:val="26"/>
          <w:lang w:val="vi-VN"/>
        </w:rPr>
        <w:fldChar w:fldCharType="separate"/>
      </w:r>
      <w:r w:rsidR="006C7797">
        <w:rPr>
          <w:rFonts w:ascii="Times New Roman" w:hAnsi="Times New Roman"/>
          <w:noProof/>
          <w:color w:val="000000" w:themeColor="text1"/>
          <w:sz w:val="26"/>
          <w:szCs w:val="26"/>
          <w:lang w:val="vi-VN"/>
        </w:rPr>
        <w:t>1</w:t>
      </w:r>
      <w:r w:rsidRPr="0003620D">
        <w:rPr>
          <w:rFonts w:ascii="Times New Roman" w:hAnsi="Times New Roman"/>
          <w:color w:val="000000" w:themeColor="text1"/>
          <w:sz w:val="26"/>
          <w:szCs w:val="26"/>
          <w:lang w:val="vi-VN"/>
        </w:rPr>
        <w:fldChar w:fldCharType="end"/>
      </w:r>
      <w:r w:rsidRPr="0003620D">
        <w:rPr>
          <w:rFonts w:ascii="Times New Roman" w:hAnsi="Times New Roman"/>
          <w:color w:val="000000" w:themeColor="text1"/>
          <w:sz w:val="26"/>
          <w:szCs w:val="26"/>
          <w:lang w:val="vi-VN"/>
        </w:rPr>
        <w:t>: Bộ tiêu chuẩn ISO/IEC 30134 về các KPI cho trung tâm dữ liệu</w:t>
      </w:r>
    </w:p>
    <w:p w14:paraId="29AEEC4D" w14:textId="2750F253" w:rsidR="0093557C" w:rsidRDefault="00C229A5" w:rsidP="0003620D">
      <w:pPr>
        <w:snapToGrid w:val="0"/>
        <w:spacing w:before="120" w:after="120" w:line="288" w:lineRule="auto"/>
        <w:ind w:firstLine="709"/>
        <w:jc w:val="both"/>
        <w:rPr>
          <w:rFonts w:ascii="Times New Roman" w:hAnsi="Times New Roman"/>
          <w:sz w:val="26"/>
          <w:szCs w:val="26"/>
          <w:lang w:val="vi-VN"/>
        </w:rPr>
      </w:pPr>
      <w:r>
        <w:rPr>
          <w:rFonts w:ascii="Times New Roman" w:hAnsi="Times New Roman"/>
          <w:color w:val="000000"/>
          <w:sz w:val="26"/>
          <w:szCs w:val="26"/>
          <w:lang w:val="vi-VN"/>
        </w:rPr>
        <w:tab/>
        <w:t>Nội dung cụ thể của các phần trong bộ tiêu chuẩn ISO/IEC 30134 như sau:</w:t>
      </w:r>
      <w:r w:rsidR="0093557C" w:rsidRPr="0003620D">
        <w:rPr>
          <w:rFonts w:ascii="Times New Roman" w:hAnsi="Times New Roman"/>
          <w:color w:val="000000"/>
          <w:sz w:val="26"/>
          <w:szCs w:val="26"/>
          <w:lang w:val="vi-VN"/>
        </w:rPr>
        <w:t xml:space="preserve"> </w:t>
      </w:r>
    </w:p>
    <w:p w14:paraId="5957D756" w14:textId="3E1A8ED0" w:rsidR="00F03D50" w:rsidRPr="0003620D" w:rsidRDefault="00F03D50" w:rsidP="0003620D">
      <w:pPr>
        <w:pStyle w:val="Caption"/>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Bảng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Bảng \* ARABIC </w:instrText>
      </w:r>
      <w:r w:rsidRPr="0003620D">
        <w:rPr>
          <w:rFonts w:ascii="Times New Roman" w:hAnsi="Times New Roman"/>
          <w:color w:val="000000" w:themeColor="text1"/>
          <w:sz w:val="26"/>
          <w:szCs w:val="26"/>
          <w:lang w:val="vi-VN"/>
        </w:rPr>
        <w:fldChar w:fldCharType="separate"/>
      </w:r>
      <w:r w:rsidR="006C7797">
        <w:rPr>
          <w:rFonts w:ascii="Times New Roman" w:hAnsi="Times New Roman"/>
          <w:noProof/>
          <w:color w:val="000000" w:themeColor="text1"/>
          <w:sz w:val="26"/>
          <w:szCs w:val="26"/>
          <w:lang w:val="vi-VN"/>
        </w:rPr>
        <w:t>1</w:t>
      </w:r>
      <w:r w:rsidRPr="0003620D">
        <w:rPr>
          <w:rFonts w:ascii="Times New Roman" w:hAnsi="Times New Roman"/>
          <w:color w:val="000000" w:themeColor="text1"/>
          <w:sz w:val="26"/>
          <w:szCs w:val="26"/>
          <w:lang w:val="vi-VN"/>
        </w:rPr>
        <w:fldChar w:fldCharType="end"/>
      </w:r>
      <w:r w:rsidR="0003620D">
        <w:rPr>
          <w:rFonts w:ascii="Times New Roman" w:hAnsi="Times New Roman"/>
          <w:color w:val="000000" w:themeColor="text1"/>
          <w:sz w:val="26"/>
          <w:szCs w:val="26"/>
          <w:lang w:val="vi-VN"/>
        </w:rPr>
        <w:t>:</w:t>
      </w:r>
      <w:r w:rsidRPr="0003620D">
        <w:rPr>
          <w:rFonts w:ascii="Times New Roman" w:hAnsi="Times New Roman"/>
          <w:color w:val="000000" w:themeColor="text1"/>
          <w:sz w:val="26"/>
          <w:szCs w:val="26"/>
          <w:lang w:val="vi-VN"/>
        </w:rPr>
        <w:t xml:space="preserve"> Danh mục các tiêu chuẩn trong bộ ISO/IEC 30134</w:t>
      </w:r>
    </w:p>
    <w:tbl>
      <w:tblPr>
        <w:tblStyle w:val="TableGrid"/>
        <w:tblW w:w="9067" w:type="dxa"/>
        <w:tblLook w:val="04A0" w:firstRow="1" w:lastRow="0" w:firstColumn="1" w:lastColumn="0" w:noHBand="0" w:noVBand="1"/>
      </w:tblPr>
      <w:tblGrid>
        <w:gridCol w:w="2265"/>
        <w:gridCol w:w="2265"/>
        <w:gridCol w:w="4537"/>
      </w:tblGrid>
      <w:tr w:rsidR="00C229A5" w:rsidRPr="00C229A5" w14:paraId="45037E0A" w14:textId="77777777" w:rsidTr="000530CC">
        <w:trPr>
          <w:tblHeader/>
        </w:trPr>
        <w:tc>
          <w:tcPr>
            <w:tcW w:w="2265" w:type="dxa"/>
          </w:tcPr>
          <w:p w14:paraId="589424D0"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Số hiệu</w:t>
            </w:r>
          </w:p>
        </w:tc>
        <w:tc>
          <w:tcPr>
            <w:tcW w:w="2265" w:type="dxa"/>
          </w:tcPr>
          <w:p w14:paraId="46552F21"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Tên</w:t>
            </w:r>
          </w:p>
        </w:tc>
        <w:tc>
          <w:tcPr>
            <w:tcW w:w="4537" w:type="dxa"/>
          </w:tcPr>
          <w:p w14:paraId="4CFDF096"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Phạm vi áp dụng</w:t>
            </w:r>
          </w:p>
        </w:tc>
      </w:tr>
      <w:tr w:rsidR="00C229A5" w:rsidRPr="00C229A5" w14:paraId="5E09F792" w14:textId="77777777" w:rsidTr="000530CC">
        <w:tc>
          <w:tcPr>
            <w:tcW w:w="2265" w:type="dxa"/>
          </w:tcPr>
          <w:p w14:paraId="32070D6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30134-1</w:t>
            </w:r>
          </w:p>
        </w:tc>
        <w:tc>
          <w:tcPr>
            <w:tcW w:w="2265" w:type="dxa"/>
          </w:tcPr>
          <w:p w14:paraId="539A75CC"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1: Overview and general requirements</w:t>
            </w:r>
          </w:p>
        </w:tc>
        <w:tc>
          <w:tcPr>
            <w:tcW w:w="4537" w:type="dxa"/>
          </w:tcPr>
          <w:p w14:paraId="67A5E83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quy định các yêu cầu chung đưa ra trong các phần của ISO/IEC 30134, bao gồm:</w:t>
            </w:r>
          </w:p>
          <w:p w14:paraId="62CAE018"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Kiến trúc chung;</w:t>
            </w:r>
          </w:p>
          <w:p w14:paraId="1C03EF8F"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Định nghĩa, các điều kiện.</w:t>
            </w:r>
          </w:p>
        </w:tc>
      </w:tr>
      <w:tr w:rsidR="00C229A5" w:rsidRPr="00C229A5" w14:paraId="7A500C2E" w14:textId="77777777" w:rsidTr="000530CC">
        <w:tc>
          <w:tcPr>
            <w:tcW w:w="2265" w:type="dxa"/>
          </w:tcPr>
          <w:p w14:paraId="3F6B85D7"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30134-2</w:t>
            </w:r>
          </w:p>
        </w:tc>
        <w:tc>
          <w:tcPr>
            <w:tcW w:w="2265" w:type="dxa"/>
          </w:tcPr>
          <w:p w14:paraId="1AFA4ED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2: Power Usage Effective (PUE)</w:t>
            </w:r>
          </w:p>
        </w:tc>
        <w:tc>
          <w:tcPr>
            <w:tcW w:w="4537" w:type="dxa"/>
          </w:tcPr>
          <w:p w14:paraId="0FB05240" w14:textId="18165F42" w:rsidR="00C229A5" w:rsidRPr="00C229A5" w:rsidRDefault="00C229A5" w:rsidP="000530CC">
            <w:pPr>
              <w:snapToGrid w:val="0"/>
              <w:spacing w:before="120" w:after="120"/>
              <w:jc w:val="both"/>
              <w:rPr>
                <w:rFonts w:ascii="Times New Roman" w:hAnsi="Times New Roman"/>
                <w:sz w:val="26"/>
                <w:szCs w:val="26"/>
                <w:lang w:val="vi-VN"/>
              </w:rPr>
            </w:pPr>
            <w:r w:rsidRPr="00C229A5">
              <w:rPr>
                <w:rStyle w:val="notranslate"/>
                <w:rFonts w:ascii="Times New Roman" w:hAnsi="Times New Roman"/>
                <w:sz w:val="26"/>
                <w:szCs w:val="26"/>
                <w:lang w:val="vi-VN"/>
              </w:rPr>
              <w:t xml:space="preserve">Tiêu chuẩn này quy định hiệu suất sử dụng điện (PUE) là một </w:t>
            </w:r>
            <w:r w:rsidR="00901B21">
              <w:rPr>
                <w:rStyle w:val="notranslate"/>
                <w:rFonts w:ascii="Times New Roman" w:hAnsi="Times New Roman"/>
                <w:sz w:val="26"/>
                <w:szCs w:val="26"/>
                <w:lang w:val="vi-VN"/>
              </w:rPr>
              <w:t>chỉ số chất lượng</w:t>
            </w:r>
            <w:r w:rsidRPr="00C229A5">
              <w:rPr>
                <w:rStyle w:val="notranslate"/>
                <w:rFonts w:ascii="Times New Roman" w:hAnsi="Times New Roman"/>
                <w:sz w:val="26"/>
                <w:szCs w:val="26"/>
                <w:lang w:val="vi-VN"/>
              </w:rPr>
              <w:t xml:space="preserve"> chính (KPI) nhằm định lượng việc sử dụng năng lượng hiệu suất dưới dạng điện.</w:t>
            </w:r>
          </w:p>
        </w:tc>
      </w:tr>
      <w:tr w:rsidR="00C229A5" w:rsidRPr="00C229A5" w14:paraId="5CD96D00" w14:textId="77777777" w:rsidTr="000530CC">
        <w:tc>
          <w:tcPr>
            <w:tcW w:w="2265" w:type="dxa"/>
          </w:tcPr>
          <w:p w14:paraId="6BF043FC"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lastRenderedPageBreak/>
              <w:t>ISO/IEC 30134-3</w:t>
            </w:r>
          </w:p>
        </w:tc>
        <w:tc>
          <w:tcPr>
            <w:tcW w:w="2265" w:type="dxa"/>
          </w:tcPr>
          <w:p w14:paraId="7B6CFD60"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3: Renewable Energy Factor (REF)</w:t>
            </w:r>
          </w:p>
        </w:tc>
        <w:tc>
          <w:tcPr>
            <w:tcW w:w="4537" w:type="dxa"/>
          </w:tcPr>
          <w:p w14:paraId="1F413C32"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đưa ra:</w:t>
            </w:r>
          </w:p>
          <w:p w14:paraId="24AF086E"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Phương pháp các định hệ số tái tạo năng lượng (REF) của một trung tâm dữ liệu;</w:t>
            </w:r>
          </w:p>
          <w:p w14:paraId="69E33BA0"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Quy định phương pháp tính toán và thể hiện REF; và</w:t>
            </w:r>
          </w:p>
          <w:p w14:paraId="4D7356E5"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Cung cấp thông tin về việc giải thích chính xác REF.</w:t>
            </w:r>
          </w:p>
        </w:tc>
      </w:tr>
      <w:tr w:rsidR="00C229A5" w:rsidRPr="00C229A5" w14:paraId="187CB2C8" w14:textId="77777777" w:rsidTr="000530CC">
        <w:tc>
          <w:tcPr>
            <w:tcW w:w="2265" w:type="dxa"/>
          </w:tcPr>
          <w:p w14:paraId="1C3782B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30134-4</w:t>
            </w:r>
          </w:p>
        </w:tc>
        <w:tc>
          <w:tcPr>
            <w:tcW w:w="2265" w:type="dxa"/>
          </w:tcPr>
          <w:p w14:paraId="189ED85D"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4: IT Equipment Energy Efficiency For Servers (ITEEsv)</w:t>
            </w:r>
          </w:p>
        </w:tc>
        <w:tc>
          <w:tcPr>
            <w:tcW w:w="4537" w:type="dxa"/>
          </w:tcPr>
          <w:p w14:paraId="20DF2381"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xác định hiệu quả sử dụng năng lượng của thiết bị IT cho máy chủ (ITEEsv), là một hệ số hiệu suất chính (KPI) nhằm xác định các đặc tính hiệu suất sử dụng năng lượng của máy chủ trong một DC. Hệ số này được tính toán bằng cách sử dụng các tiêu chuẩn hiệu suất máy chủ đã ban hành hoặc theo bối cảnh cụ thể. ITEEsv dự kiến cải thiện hiệu quả sử dụng năng lượng tổng thể của các máy chủ trong một DC nhất định.</w:t>
            </w:r>
          </w:p>
          <w:p w14:paraId="2B61DCC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cung cấp:</w:t>
            </w:r>
          </w:p>
          <w:p w14:paraId="645FEB73"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Phương pháp xác định ITEEsv;</w:t>
            </w:r>
          </w:p>
          <w:p w14:paraId="4ED89236"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mục đích của ITEEsv;</w:t>
            </w:r>
          </w:p>
          <w:p w14:paraId="656E0FFC"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Các sử dụng ITEEsv;</w:t>
            </w:r>
          </w:p>
          <w:p w14:paraId="4A6825BD"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báo cáo về ITEEsv.</w:t>
            </w:r>
          </w:p>
        </w:tc>
      </w:tr>
      <w:tr w:rsidR="00C229A5" w:rsidRPr="00C229A5" w14:paraId="1F772F58" w14:textId="77777777" w:rsidTr="000530CC">
        <w:tc>
          <w:tcPr>
            <w:tcW w:w="2265" w:type="dxa"/>
          </w:tcPr>
          <w:p w14:paraId="02E36473"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30134-5</w:t>
            </w:r>
          </w:p>
        </w:tc>
        <w:tc>
          <w:tcPr>
            <w:tcW w:w="2265" w:type="dxa"/>
          </w:tcPr>
          <w:p w14:paraId="68912F52"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5: IT Equipment Utilization for servers (ITEUsv)</w:t>
            </w:r>
          </w:p>
        </w:tc>
        <w:tc>
          <w:tcPr>
            <w:tcW w:w="4537" w:type="dxa"/>
          </w:tcPr>
          <w:p w14:paraId="24D148B1"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Style w:val="notranslate"/>
                <w:rFonts w:ascii="Times New Roman" w:hAnsi="Times New Roman"/>
                <w:sz w:val="26"/>
                <w:szCs w:val="26"/>
                <w:lang w:val="vi-VN"/>
              </w:rPr>
              <w:t>Tiêu chuẩn này xác định mức sử dụng thiết bị CNTT cho máy chủ (ITEUsv) làm Chỉ báo hiệu suất chính (KPI) để định lượng việc sử dụng máy chủ trong trung tâm dữ liệu. Tiêu chuẩn này nhằm mục đích làm KPI để cải thiện hiệu quả sử dụng năng lượng tổng thể của các máy chủ trong một trung tâm dữ liệu nhất định.</w:t>
            </w:r>
          </w:p>
          <w:p w14:paraId="0BDE6800"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Style w:val="notranslate"/>
                <w:rFonts w:ascii="Times New Roman" w:hAnsi="Times New Roman"/>
                <w:sz w:val="26"/>
                <w:szCs w:val="26"/>
                <w:lang w:val="vi-VN"/>
              </w:rPr>
              <w:t>Tiêu chuẩn này cung cấp:</w:t>
            </w:r>
          </w:p>
          <w:p w14:paraId="6E48763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mục đích của ITEUsv;</w:t>
            </w:r>
          </w:p>
          <w:p w14:paraId="6CEC920B"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định nghĩa ITEUsv theo cách khái niệm;</w:t>
            </w:r>
          </w:p>
          <w:p w14:paraId="4AAB9D51"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lastRenderedPageBreak/>
              <w:t>- mô tả cách sử dụng ITEUsv; và</w:t>
            </w:r>
          </w:p>
          <w:p w14:paraId="34BF06DE"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Fonts w:ascii="Times New Roman" w:hAnsi="Times New Roman"/>
                <w:sz w:val="26"/>
                <w:szCs w:val="26"/>
                <w:lang w:val="vi-VN"/>
              </w:rPr>
              <w:t>- mô tả báo cáo của ITEUsv.</w:t>
            </w:r>
          </w:p>
        </w:tc>
      </w:tr>
      <w:tr w:rsidR="00C229A5" w:rsidRPr="00C229A5" w14:paraId="4438C936" w14:textId="77777777" w:rsidTr="000530CC">
        <w:tc>
          <w:tcPr>
            <w:tcW w:w="2265" w:type="dxa"/>
          </w:tcPr>
          <w:p w14:paraId="3A5FFB64"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lastRenderedPageBreak/>
              <w:t>ISO/IEC 30134-6</w:t>
            </w:r>
          </w:p>
        </w:tc>
        <w:tc>
          <w:tcPr>
            <w:tcW w:w="2265" w:type="dxa"/>
          </w:tcPr>
          <w:p w14:paraId="0F3BFC8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6: Energy Reuse Factor (ERF)</w:t>
            </w:r>
          </w:p>
        </w:tc>
        <w:tc>
          <w:tcPr>
            <w:tcW w:w="4537" w:type="dxa"/>
          </w:tcPr>
          <w:p w14:paraId="0B54832B"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Style w:val="notranslate"/>
                <w:rFonts w:ascii="Times New Roman" w:hAnsi="Times New Roman"/>
                <w:sz w:val="26"/>
                <w:szCs w:val="26"/>
                <w:lang w:val="vi-VN"/>
              </w:rPr>
              <w:t>Tiêu chuẩn này quy định hệ số tái sử dụng năng lượng (ERF) làm KPI để tính toán việc tái sử dụng năng lượng tiêu thụ trong trung tâm dữ liệu. ERF được định nghĩa là tỷ lệ năng lượng được tái sử dụng chia cho tổng năng lượng tiêu thụ trong một trung tâm dữ liệu. ERF phản ánh hiệu quả của quá trình tái sử dụng; quá trình tái sử dụng không phải là một phần của trung tâm dữ liệu.</w:t>
            </w:r>
          </w:p>
        </w:tc>
      </w:tr>
      <w:tr w:rsidR="00C229A5" w:rsidRPr="00C229A5" w14:paraId="15E727C3" w14:textId="77777777" w:rsidTr="000530CC">
        <w:tc>
          <w:tcPr>
            <w:tcW w:w="2265" w:type="dxa"/>
          </w:tcPr>
          <w:p w14:paraId="518BE61F"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30134-7</w:t>
            </w:r>
          </w:p>
        </w:tc>
        <w:tc>
          <w:tcPr>
            <w:tcW w:w="2265" w:type="dxa"/>
          </w:tcPr>
          <w:p w14:paraId="7F08145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7: Cooling Efficiency Ratio (CER)</w:t>
            </w:r>
          </w:p>
        </w:tc>
        <w:tc>
          <w:tcPr>
            <w:tcW w:w="4537" w:type="dxa"/>
          </w:tcPr>
          <w:p w14:paraId="74024392" w14:textId="1DEBE93C" w:rsidR="00C229A5" w:rsidRPr="00C229A5" w:rsidRDefault="00C229A5" w:rsidP="000530CC">
            <w:pPr>
              <w:pStyle w:val="NormalWeb"/>
              <w:shd w:val="clear" w:color="auto" w:fill="FFFFFF"/>
              <w:snapToGrid w:val="0"/>
              <w:spacing w:before="120" w:beforeAutospacing="0" w:after="120" w:afterAutospacing="0"/>
              <w:jc w:val="both"/>
              <w:rPr>
                <w:color w:val="1F1F1F"/>
                <w:sz w:val="26"/>
                <w:szCs w:val="26"/>
                <w:lang w:val="vi-VN"/>
              </w:rPr>
            </w:pPr>
            <w:r w:rsidRPr="00C229A5">
              <w:rPr>
                <w:color w:val="1F1F1F"/>
                <w:sz w:val="26"/>
                <w:szCs w:val="26"/>
              </w:rPr>
              <w:t xml:space="preserve">Tiêu chuẩn này quy định tỷ lệ hiệu suất </w:t>
            </w:r>
            <w:r w:rsidR="00B65C5D">
              <w:rPr>
                <w:color w:val="1F1F1F"/>
                <w:sz w:val="26"/>
                <w:szCs w:val="26"/>
              </w:rPr>
              <w:t>làm lạnh</w:t>
            </w:r>
            <w:r w:rsidRPr="00C229A5">
              <w:rPr>
                <w:color w:val="1F1F1F"/>
                <w:sz w:val="26"/>
                <w:szCs w:val="26"/>
              </w:rPr>
              <w:t xml:space="preserve"> (CER) như một </w:t>
            </w:r>
            <w:r w:rsidR="00901B21">
              <w:rPr>
                <w:color w:val="1F1F1F"/>
                <w:sz w:val="26"/>
                <w:szCs w:val="26"/>
              </w:rPr>
              <w:t>chỉ số chất lượng</w:t>
            </w:r>
            <w:r w:rsidRPr="00C229A5">
              <w:rPr>
                <w:color w:val="1F1F1F"/>
                <w:sz w:val="26"/>
                <w:szCs w:val="26"/>
              </w:rPr>
              <w:t xml:space="preserve"> chính (KPI) nhằm định lượng việc sử dụng năng lượng hiệu suất để kiểm soát nhiệt độ của các không gian bên trong trung tâm dữ liệu (DC).</w:t>
            </w:r>
          </w:p>
        </w:tc>
      </w:tr>
      <w:tr w:rsidR="00C229A5" w:rsidRPr="00C229A5" w14:paraId="389BE65B" w14:textId="77777777" w:rsidTr="000530CC">
        <w:tc>
          <w:tcPr>
            <w:tcW w:w="2265" w:type="dxa"/>
          </w:tcPr>
          <w:p w14:paraId="5FED10B8"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30134-8</w:t>
            </w:r>
          </w:p>
        </w:tc>
        <w:tc>
          <w:tcPr>
            <w:tcW w:w="2265" w:type="dxa"/>
          </w:tcPr>
          <w:p w14:paraId="24A75B7B"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8: Carbon Usage Effectiveness (CUE)</w:t>
            </w:r>
          </w:p>
        </w:tc>
        <w:tc>
          <w:tcPr>
            <w:tcW w:w="4537" w:type="dxa"/>
          </w:tcPr>
          <w:p w14:paraId="436D4218" w14:textId="2BEA9CAE" w:rsidR="00C229A5" w:rsidRPr="00C229A5" w:rsidRDefault="00C229A5" w:rsidP="000530CC">
            <w:pPr>
              <w:snapToGrid w:val="0"/>
              <w:spacing w:before="120" w:after="120"/>
              <w:jc w:val="both"/>
              <w:rPr>
                <w:rFonts w:ascii="Times New Roman" w:hAnsi="Times New Roman"/>
                <w:sz w:val="26"/>
                <w:szCs w:val="26"/>
              </w:rPr>
            </w:pPr>
            <w:r w:rsidRPr="00C229A5">
              <w:rPr>
                <w:rFonts w:ascii="Times New Roman" w:hAnsi="Times New Roman"/>
                <w:sz w:val="26"/>
                <w:szCs w:val="26"/>
              </w:rPr>
              <w:t>Tiêu chuẩn này xác</w:t>
            </w:r>
            <w:r w:rsidRPr="00C229A5">
              <w:rPr>
                <w:rFonts w:ascii="Times New Roman" w:hAnsi="Times New Roman"/>
                <w:sz w:val="26"/>
                <w:szCs w:val="26"/>
                <w:lang w:val="vi-VN"/>
              </w:rPr>
              <w:t xml:space="preserve"> định</w:t>
            </w:r>
            <w:r w:rsidRPr="00C229A5">
              <w:rPr>
                <w:rFonts w:ascii="Times New Roman" w:hAnsi="Times New Roman"/>
                <w:sz w:val="26"/>
                <w:szCs w:val="26"/>
              </w:rPr>
              <w:t xml:space="preserve"> </w:t>
            </w:r>
            <w:r w:rsidRPr="00C229A5">
              <w:rPr>
                <w:rFonts w:ascii="Times New Roman" w:hAnsi="Times New Roman"/>
                <w:sz w:val="26"/>
                <w:szCs w:val="26"/>
                <w:lang w:val="vi-VN"/>
              </w:rPr>
              <w:t>h</w:t>
            </w:r>
            <w:r w:rsidRPr="00C229A5">
              <w:rPr>
                <w:rFonts w:ascii="Times New Roman" w:hAnsi="Times New Roman"/>
                <w:sz w:val="26"/>
                <w:szCs w:val="26"/>
              </w:rPr>
              <w:t xml:space="preserve">iệu suất sử dụng Carbon (CUE) như một </w:t>
            </w:r>
            <w:r w:rsidR="00901B21">
              <w:rPr>
                <w:rFonts w:ascii="Times New Roman" w:hAnsi="Times New Roman"/>
                <w:sz w:val="26"/>
                <w:szCs w:val="26"/>
              </w:rPr>
              <w:t>chỉ số chất lượng</w:t>
            </w:r>
            <w:r w:rsidRPr="00C229A5">
              <w:rPr>
                <w:rFonts w:ascii="Times New Roman" w:hAnsi="Times New Roman"/>
                <w:sz w:val="26"/>
                <w:szCs w:val="26"/>
              </w:rPr>
              <w:t xml:space="preserve"> chính (KPI) để định lượng lượng phát thải CO</w:t>
            </w:r>
            <w:r w:rsidRPr="00C229A5">
              <w:rPr>
                <w:rFonts w:ascii="Times New Roman" w:hAnsi="Times New Roman"/>
                <w:sz w:val="26"/>
                <w:szCs w:val="26"/>
                <w:vertAlign w:val="subscript"/>
              </w:rPr>
              <w:t>2</w:t>
            </w:r>
            <w:r w:rsidRPr="00C229A5">
              <w:rPr>
                <w:rFonts w:ascii="Times New Roman" w:hAnsi="Times New Roman"/>
                <w:sz w:val="26"/>
                <w:szCs w:val="26"/>
              </w:rPr>
              <w:t xml:space="preserve"> của trung tâm dữ liệu trong giai đoạn sử dụng của vòng đời trung tâm dữ liệu.</w:t>
            </w:r>
          </w:p>
          <w:p w14:paraId="518D6657"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rPr>
              <w:t>CUE là một phương pháp đơn giản để báo cáo cường độ CO</w:t>
            </w:r>
            <w:r w:rsidRPr="00C229A5">
              <w:rPr>
                <w:rFonts w:ascii="Times New Roman" w:hAnsi="Times New Roman"/>
                <w:sz w:val="26"/>
                <w:szCs w:val="26"/>
                <w:vertAlign w:val="subscript"/>
              </w:rPr>
              <w:t>2</w:t>
            </w:r>
            <w:r w:rsidRPr="00C229A5">
              <w:rPr>
                <w:rFonts w:ascii="Times New Roman" w:hAnsi="Times New Roman"/>
                <w:sz w:val="26"/>
                <w:szCs w:val="26"/>
              </w:rPr>
              <w:t xml:space="preserve"> khi vận hành trung tâm dữ liệu. Bằng cách báo cáo lượng phát thải CO</w:t>
            </w:r>
            <w:r w:rsidRPr="00C229A5">
              <w:rPr>
                <w:rFonts w:ascii="Times New Roman" w:hAnsi="Times New Roman"/>
                <w:sz w:val="26"/>
                <w:szCs w:val="26"/>
                <w:vertAlign w:val="subscript"/>
              </w:rPr>
              <w:t>2</w:t>
            </w:r>
            <w:r w:rsidRPr="00C229A5">
              <w:rPr>
                <w:rFonts w:ascii="Times New Roman" w:hAnsi="Times New Roman"/>
                <w:sz w:val="26"/>
                <w:szCs w:val="26"/>
              </w:rPr>
              <w:t>, có thể trình bày tác động của trung tâm dữ liệu đến biến đổi khí hậu (hiệu ứng nhà kính gia tăng).</w:t>
            </w:r>
          </w:p>
        </w:tc>
      </w:tr>
      <w:tr w:rsidR="00C229A5" w:rsidRPr="00C229A5" w14:paraId="7D678563" w14:textId="77777777" w:rsidTr="000530CC">
        <w:tc>
          <w:tcPr>
            <w:tcW w:w="2265" w:type="dxa"/>
          </w:tcPr>
          <w:p w14:paraId="4FE1073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30134-9</w:t>
            </w:r>
          </w:p>
        </w:tc>
        <w:tc>
          <w:tcPr>
            <w:tcW w:w="2265" w:type="dxa"/>
          </w:tcPr>
          <w:p w14:paraId="06DF1191"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 xml:space="preserve">Information technology - Data centres - Key performance indicators - Part 9: Water Usage </w:t>
            </w:r>
            <w:r w:rsidRPr="00C229A5">
              <w:rPr>
                <w:rFonts w:ascii="Times New Roman" w:hAnsi="Times New Roman"/>
                <w:sz w:val="26"/>
                <w:szCs w:val="26"/>
                <w:lang w:val="vi-VN"/>
              </w:rPr>
              <w:lastRenderedPageBreak/>
              <w:t>Effectiveness (WUE)</w:t>
            </w:r>
          </w:p>
        </w:tc>
        <w:tc>
          <w:tcPr>
            <w:tcW w:w="4537" w:type="dxa"/>
          </w:tcPr>
          <w:p w14:paraId="36B1A4D1" w14:textId="50014497" w:rsidR="00C229A5" w:rsidRPr="00C229A5" w:rsidRDefault="00C229A5" w:rsidP="000530CC">
            <w:pPr>
              <w:pStyle w:val="NormalWeb"/>
              <w:snapToGrid w:val="0"/>
              <w:spacing w:before="120" w:beforeAutospacing="0" w:after="120" w:afterAutospacing="0"/>
              <w:jc w:val="both"/>
              <w:rPr>
                <w:sz w:val="26"/>
                <w:szCs w:val="26"/>
              </w:rPr>
            </w:pPr>
            <w:r w:rsidRPr="00C229A5">
              <w:rPr>
                <w:sz w:val="26"/>
                <w:szCs w:val="26"/>
              </w:rPr>
              <w:lastRenderedPageBreak/>
              <w:t>Tiêu chuẩn này xác</w:t>
            </w:r>
            <w:r w:rsidRPr="00C229A5">
              <w:rPr>
                <w:sz w:val="26"/>
                <w:szCs w:val="26"/>
                <w:lang w:val="vi-VN"/>
              </w:rPr>
              <w:t xml:space="preserve"> định</w:t>
            </w:r>
            <w:r w:rsidRPr="00C229A5">
              <w:rPr>
                <w:sz w:val="26"/>
                <w:szCs w:val="26"/>
              </w:rPr>
              <w:t xml:space="preserve"> hiệu suất sử dụng nước (WUE) như một </w:t>
            </w:r>
            <w:r w:rsidR="00901B21">
              <w:rPr>
                <w:sz w:val="26"/>
                <w:szCs w:val="26"/>
              </w:rPr>
              <w:t>chỉ số chất lượng</w:t>
            </w:r>
            <w:r w:rsidRPr="00C229A5">
              <w:rPr>
                <w:sz w:val="26"/>
                <w:szCs w:val="26"/>
              </w:rPr>
              <w:t xml:space="preserve"> chính (KPI) để định lượng mức tiêu thụ nước của trung tâm dữ liệu trong giai đoạn sử dụng của vòng đời trung tâm dữ liệu.</w:t>
            </w:r>
          </w:p>
          <w:p w14:paraId="580CC828" w14:textId="77777777" w:rsidR="00C229A5" w:rsidRPr="00C229A5" w:rsidRDefault="00C229A5" w:rsidP="000530CC">
            <w:pPr>
              <w:pStyle w:val="NormalWeb"/>
              <w:snapToGrid w:val="0"/>
              <w:spacing w:before="120" w:beforeAutospacing="0" w:after="120" w:afterAutospacing="0"/>
              <w:jc w:val="both"/>
              <w:rPr>
                <w:sz w:val="26"/>
                <w:szCs w:val="26"/>
                <w:lang w:val="vi-VN"/>
              </w:rPr>
            </w:pPr>
            <w:r w:rsidRPr="00C229A5">
              <w:rPr>
                <w:sz w:val="26"/>
                <w:szCs w:val="26"/>
              </w:rPr>
              <w:t xml:space="preserve">WUE là một phương pháp đơn giản để báo cáo mức độ tiêu thụ nước khi vận </w:t>
            </w:r>
            <w:r w:rsidRPr="00C229A5">
              <w:rPr>
                <w:sz w:val="26"/>
                <w:szCs w:val="26"/>
              </w:rPr>
              <w:lastRenderedPageBreak/>
              <w:t>hành trung tâm dữ liệu. Bằng việc báo cáo mức tiêu thụ nước, có thể thể hiện hiệu suất sử dụng tài nguyên của trung tâm dữ liệu.</w:t>
            </w:r>
          </w:p>
        </w:tc>
      </w:tr>
    </w:tbl>
    <w:p w14:paraId="26B95671" w14:textId="77777777" w:rsidR="00C229A5" w:rsidRPr="00C229A5" w:rsidRDefault="00C229A5" w:rsidP="00C229A5">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4" w:name="_Toc173371022"/>
      <w:r w:rsidRPr="00C229A5">
        <w:rPr>
          <w:rFonts w:ascii="Times New Roman" w:hAnsi="Times New Roman"/>
          <w:color w:val="000000" w:themeColor="text1"/>
          <w:sz w:val="26"/>
          <w:szCs w:val="26"/>
          <w:lang w:val="vi-VN"/>
        </w:rPr>
        <w:lastRenderedPageBreak/>
        <w:t>Ủy ban tiêu chuẩn châu Âu (CEN)</w:t>
      </w:r>
      <w:bookmarkEnd w:id="54"/>
    </w:p>
    <w:p w14:paraId="1B79C219" w14:textId="108A598C" w:rsidR="0003620D" w:rsidRPr="0003620D" w:rsidRDefault="0003620D" w:rsidP="0003620D">
      <w:pPr>
        <w:snapToGrid w:val="0"/>
        <w:spacing w:before="120" w:after="120" w:line="288" w:lineRule="auto"/>
        <w:ind w:firstLine="709"/>
        <w:jc w:val="both"/>
        <w:rPr>
          <w:rFonts w:ascii="Times New Roman" w:hAnsi="Times New Roman"/>
          <w:sz w:val="26"/>
          <w:szCs w:val="26"/>
          <w:lang w:val="vi-VN"/>
        </w:rPr>
      </w:pPr>
      <w:r w:rsidRPr="0003620D">
        <w:rPr>
          <w:rFonts w:ascii="Times New Roman" w:hAnsi="Times New Roman"/>
          <w:sz w:val="26"/>
          <w:szCs w:val="26"/>
          <w:lang w:val="pt-BR"/>
        </w:rPr>
        <w:t>Ủy ban Tiêu chuẩn hóa Châu Âu</w:t>
      </w:r>
      <w:r>
        <w:rPr>
          <w:rFonts w:ascii="Times New Roman" w:hAnsi="Times New Roman"/>
          <w:sz w:val="26"/>
          <w:szCs w:val="26"/>
          <w:lang w:val="vi-VN"/>
        </w:rPr>
        <w:t xml:space="preserve"> CEN</w:t>
      </w:r>
      <w:r w:rsidRPr="0003620D">
        <w:rPr>
          <w:rFonts w:ascii="Times New Roman" w:hAnsi="Times New Roman"/>
          <w:sz w:val="26"/>
          <w:szCs w:val="26"/>
          <w:lang w:val="pt-BR"/>
        </w:rPr>
        <w:t xml:space="preserve"> là một tổ chức quốc tế gồm 34 quốc gia Châu Âu. CEN nhằm mục đích tăng tốc và thúc đẩy các nền kinh tế châu Âu trên thị trường toàn cầu bằng cách cung cấp cơ sở hạ tầng cho thương mại và các bộ tiêu chuẩn hóa.</w:t>
      </w:r>
      <w:r>
        <w:rPr>
          <w:rFonts w:ascii="Times New Roman" w:hAnsi="Times New Roman"/>
          <w:sz w:val="26"/>
          <w:szCs w:val="26"/>
          <w:lang w:val="vi-VN"/>
        </w:rPr>
        <w:t xml:space="preserve"> </w:t>
      </w:r>
      <w:r>
        <w:rPr>
          <w:rFonts w:ascii="Times New Roman" w:hAnsi="Times New Roman"/>
          <w:sz w:val="26"/>
          <w:szCs w:val="26"/>
          <w:lang w:val="pt-BR"/>
        </w:rPr>
        <w:t>Năm</w:t>
      </w:r>
      <w:r>
        <w:rPr>
          <w:rFonts w:ascii="Times New Roman" w:hAnsi="Times New Roman"/>
          <w:sz w:val="26"/>
          <w:szCs w:val="26"/>
          <w:lang w:val="vi-VN"/>
        </w:rPr>
        <w:t xml:space="preserve"> 1991, </w:t>
      </w:r>
      <w:r w:rsidRPr="0003620D">
        <w:rPr>
          <w:rFonts w:ascii="Times New Roman" w:hAnsi="Times New Roman"/>
          <w:sz w:val="26"/>
          <w:szCs w:val="26"/>
          <w:lang w:val="pt-BR"/>
        </w:rPr>
        <w:t>CEN và ISO cùng đồng ý và ký một thỏa thuận ngăn chặn bất kỳ sự trùng lặp nào về tiêu chuẩn giữa CEN và ISO. CEN đã áp dụng nhiều tiêu chuẩn của ISO</w:t>
      </w:r>
      <w:r>
        <w:rPr>
          <w:rFonts w:ascii="Times New Roman" w:hAnsi="Times New Roman"/>
          <w:sz w:val="26"/>
          <w:szCs w:val="26"/>
          <w:lang w:val="vi-VN"/>
        </w:rPr>
        <w:t>.</w:t>
      </w:r>
    </w:p>
    <w:p w14:paraId="73F59EC1" w14:textId="298D2240" w:rsidR="0003620D" w:rsidRDefault="0003620D" w:rsidP="0003620D">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Cũng giống như ISO/IEC, CEN cũng đã ban hành tiêu chuẩn EN 50600-4 về các KPI của TTDL, cụ thể như sau:</w:t>
      </w:r>
    </w:p>
    <w:p w14:paraId="10DB6422" w14:textId="5FDB1821" w:rsidR="0003620D" w:rsidRPr="0003620D" w:rsidRDefault="0003620D" w:rsidP="0003620D">
      <w:pPr>
        <w:pStyle w:val="Caption"/>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Bảng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Bảng \* ARABIC </w:instrText>
      </w:r>
      <w:r w:rsidRPr="0003620D">
        <w:rPr>
          <w:rFonts w:ascii="Times New Roman" w:hAnsi="Times New Roman"/>
          <w:color w:val="000000" w:themeColor="text1"/>
          <w:sz w:val="26"/>
          <w:szCs w:val="26"/>
          <w:lang w:val="vi-VN"/>
        </w:rPr>
        <w:fldChar w:fldCharType="separate"/>
      </w:r>
      <w:r w:rsidR="006C7797">
        <w:rPr>
          <w:rFonts w:ascii="Times New Roman" w:hAnsi="Times New Roman"/>
          <w:noProof/>
          <w:color w:val="000000" w:themeColor="text1"/>
          <w:sz w:val="26"/>
          <w:szCs w:val="26"/>
          <w:lang w:val="vi-VN"/>
        </w:rPr>
        <w:t>2</w:t>
      </w:r>
      <w:r w:rsidRPr="0003620D">
        <w:rPr>
          <w:rFonts w:ascii="Times New Roman" w:hAnsi="Times New Roman"/>
          <w:color w:val="000000" w:themeColor="text1"/>
          <w:sz w:val="26"/>
          <w:szCs w:val="26"/>
          <w:lang w:val="vi-VN"/>
        </w:rPr>
        <w:fldChar w:fldCharType="end"/>
      </w:r>
      <w:r w:rsidRPr="0003620D">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lang w:val="vi-VN"/>
        </w:rPr>
        <w:t>Danh mục các tiêu chuân trong bộ</w:t>
      </w:r>
      <w:r w:rsidRPr="0003620D">
        <w:rPr>
          <w:rFonts w:ascii="Times New Roman" w:hAnsi="Times New Roman"/>
          <w:color w:val="000000" w:themeColor="text1"/>
          <w:sz w:val="26"/>
          <w:szCs w:val="26"/>
          <w:lang w:val="vi-VN"/>
        </w:rPr>
        <w:t xml:space="preserve"> EN 50600-4</w:t>
      </w:r>
    </w:p>
    <w:tbl>
      <w:tblPr>
        <w:tblStyle w:val="TableGrid"/>
        <w:tblW w:w="9067" w:type="dxa"/>
        <w:tblLook w:val="04A0" w:firstRow="1" w:lastRow="0" w:firstColumn="1" w:lastColumn="0" w:noHBand="0" w:noVBand="1"/>
      </w:tblPr>
      <w:tblGrid>
        <w:gridCol w:w="2265"/>
        <w:gridCol w:w="2265"/>
        <w:gridCol w:w="4537"/>
      </w:tblGrid>
      <w:tr w:rsidR="0003620D" w:rsidRPr="0003620D" w14:paraId="5FDF7D27" w14:textId="77777777" w:rsidTr="000530CC">
        <w:trPr>
          <w:tblHeader/>
        </w:trPr>
        <w:tc>
          <w:tcPr>
            <w:tcW w:w="2265" w:type="dxa"/>
          </w:tcPr>
          <w:p w14:paraId="4B9D1ACF"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Số hiệu</w:t>
            </w:r>
          </w:p>
        </w:tc>
        <w:tc>
          <w:tcPr>
            <w:tcW w:w="2265" w:type="dxa"/>
          </w:tcPr>
          <w:p w14:paraId="651A425A"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Tên</w:t>
            </w:r>
          </w:p>
        </w:tc>
        <w:tc>
          <w:tcPr>
            <w:tcW w:w="4537" w:type="dxa"/>
          </w:tcPr>
          <w:p w14:paraId="3B7057A7"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Phạm vi áp dụng</w:t>
            </w:r>
          </w:p>
        </w:tc>
      </w:tr>
      <w:tr w:rsidR="0003620D" w:rsidRPr="0003620D" w14:paraId="29CFAC17" w14:textId="77777777" w:rsidTr="000530CC">
        <w:tc>
          <w:tcPr>
            <w:tcW w:w="2265" w:type="dxa"/>
          </w:tcPr>
          <w:p w14:paraId="1BD1390E"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50600-4-1</w:t>
            </w:r>
          </w:p>
        </w:tc>
        <w:tc>
          <w:tcPr>
            <w:tcW w:w="2265" w:type="dxa"/>
          </w:tcPr>
          <w:p w14:paraId="4486998A"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4-1: Overview of and general requirements for key performance indicators</w:t>
            </w:r>
          </w:p>
          <w:p w14:paraId="7ABD1999"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438BF3F3"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Tiêu chuẩn này quy định: </w:t>
            </w:r>
          </w:p>
          <w:p w14:paraId="6B1A845F"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a) một cấu trúc chung;</w:t>
            </w:r>
          </w:p>
          <w:p w14:paraId="73551B3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b) định nghĩa, thuật ngữ và điều kiện ranh giới cho các KPI về hiệu quả và hiệu suất sử dụng tài nguyên trung tâm dữ liệu;</w:t>
            </w:r>
          </w:p>
          <w:p w14:paraId="2301B34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c) yêu cầu chung cho các KPI về hiệu quả và hiệu suất sử dụng tài nguyên trung tâm dữ liệu;</w:t>
            </w:r>
          </w:p>
          <w:p w14:paraId="13473104"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d) mục tiêu chung cho các KPI về hiệu suất và hiệu quả của tài nguyên trung tâm dữ liệu;</w:t>
            </w:r>
          </w:p>
          <w:p w14:paraId="2D301CDA"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e) thông tin chung về việc sử dụng các KPI về hiệu quả và hiệu suất sử dụng tài nguyên trung tâm dữ liệu.</w:t>
            </w:r>
          </w:p>
        </w:tc>
      </w:tr>
      <w:tr w:rsidR="0003620D" w:rsidRPr="0003620D" w14:paraId="24FB779B" w14:textId="77777777" w:rsidTr="000530CC">
        <w:tc>
          <w:tcPr>
            <w:tcW w:w="2265" w:type="dxa"/>
          </w:tcPr>
          <w:p w14:paraId="1F09C07B"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50600-4-2</w:t>
            </w:r>
          </w:p>
        </w:tc>
        <w:tc>
          <w:tcPr>
            <w:tcW w:w="2265" w:type="dxa"/>
          </w:tcPr>
          <w:p w14:paraId="5429E528"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 xml:space="preserve">Information technology - Data centre facilities and infrastructures - Part 4-2: Power </w:t>
            </w:r>
            <w:r w:rsidRPr="0003620D">
              <w:rPr>
                <w:rFonts w:ascii="Times New Roman" w:hAnsi="Times New Roman"/>
                <w:sz w:val="26"/>
                <w:szCs w:val="26"/>
                <w:lang w:val="vi-VN"/>
              </w:rPr>
              <w:lastRenderedPageBreak/>
              <w:t>Usage Effectiveness</w:t>
            </w:r>
          </w:p>
          <w:p w14:paraId="66490B64"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1B46EFB2" w14:textId="3695BD22"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lastRenderedPageBreak/>
              <w:t xml:space="preserve">Tiêu chuẩn này xác định Hiệu suất sử dụng điện (PUE) là một </w:t>
            </w:r>
            <w:r w:rsidR="00901B21">
              <w:rPr>
                <w:rFonts w:ascii="Times New Roman" w:hAnsi="Times New Roman"/>
                <w:sz w:val="26"/>
                <w:szCs w:val="26"/>
                <w:lang w:val="vi-VN"/>
              </w:rPr>
              <w:t>chỉ số chất lượng</w:t>
            </w:r>
            <w:r w:rsidRPr="0003620D">
              <w:rPr>
                <w:rFonts w:ascii="Times New Roman" w:hAnsi="Times New Roman"/>
                <w:sz w:val="26"/>
                <w:szCs w:val="26"/>
                <w:lang w:val="vi-VN"/>
              </w:rPr>
              <w:t xml:space="preserve"> (KPI) chính để định lượng việc sử dụng năng lượng hiệu quả dưới dạng điện. </w:t>
            </w:r>
          </w:p>
          <w:p w14:paraId="0B663684"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Tiêu chuẩn này: </w:t>
            </w:r>
          </w:p>
          <w:p w14:paraId="6B4617EE"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lastRenderedPageBreak/>
              <w:t xml:space="preserve">a) định nghĩa hiệu suất PUE của trung tâm dữ liệu; </w:t>
            </w:r>
          </w:p>
          <w:p w14:paraId="7B10E537"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b) giới thiệu các loại đo lường hiệu suất; </w:t>
            </w:r>
          </w:p>
          <w:p w14:paraId="5236746D" w14:textId="018EE74B"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c) mô tả mối quan hệ của </w:t>
            </w:r>
            <w:r w:rsidR="00901B21">
              <w:rPr>
                <w:rFonts w:ascii="Times New Roman" w:hAnsi="Times New Roman"/>
                <w:sz w:val="26"/>
                <w:szCs w:val="26"/>
                <w:lang w:val="vi-VN"/>
              </w:rPr>
              <w:t>chỉ số chất lượng</w:t>
            </w:r>
            <w:r w:rsidRPr="0003620D">
              <w:rPr>
                <w:rFonts w:ascii="Times New Roman" w:hAnsi="Times New Roman"/>
                <w:sz w:val="26"/>
                <w:szCs w:val="26"/>
                <w:lang w:val="vi-VN"/>
              </w:rPr>
              <w:t xml:space="preserve"> (KPI) với cơ sở hạ tầng, các thiết bị công nghệ thông tin và công nghệ thông tin vận hành trung tâm dữ liệu;</w:t>
            </w:r>
          </w:p>
          <w:p w14:paraId="0E1D66C6"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d) định nghĩa quá trình đo lường, tính toán và báo cáo dữ liệu;</w:t>
            </w:r>
          </w:p>
          <w:p w14:paraId="18FC5FFF"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e) cung cấp thông tin chính xác về hiệu suất (PUE).</w:t>
            </w:r>
          </w:p>
        </w:tc>
      </w:tr>
      <w:tr w:rsidR="0003620D" w:rsidRPr="0003620D" w14:paraId="191D875C" w14:textId="77777777" w:rsidTr="000530CC">
        <w:tc>
          <w:tcPr>
            <w:tcW w:w="2265" w:type="dxa"/>
          </w:tcPr>
          <w:p w14:paraId="5E28311A"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50600-4-3</w:t>
            </w:r>
          </w:p>
        </w:tc>
        <w:tc>
          <w:tcPr>
            <w:tcW w:w="2265" w:type="dxa"/>
          </w:tcPr>
          <w:p w14:paraId="46F08A56"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4-3: Renewable Energy Factor</w:t>
            </w:r>
          </w:p>
          <w:p w14:paraId="14F7E18F"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0494D60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5CE3DBC1"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yếu tố năng lượng tái tạo (REF) của trung tâm dữ liệu; </w:t>
            </w:r>
          </w:p>
          <w:p w14:paraId="2C7255B4"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b) chỉ định phương pháp tính toán và trình bày yếu tố năng lượng tái tạo (REF); </w:t>
            </w:r>
          </w:p>
          <w:p w14:paraId="394EA50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shd w:val="clear" w:color="auto" w:fill="FFFFFF"/>
              </w:rPr>
              <w:t xml:space="preserve">c) cung cấp thông tin về cách hiểu đúng yếu tố năng lượng tái tạo (REF). </w:t>
            </w:r>
          </w:p>
        </w:tc>
      </w:tr>
      <w:tr w:rsidR="0003620D" w:rsidRPr="0003620D" w14:paraId="0659892F" w14:textId="77777777" w:rsidTr="000530CC">
        <w:tc>
          <w:tcPr>
            <w:tcW w:w="2265" w:type="dxa"/>
          </w:tcPr>
          <w:p w14:paraId="1CDEA665"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50600-4-6</w:t>
            </w:r>
          </w:p>
        </w:tc>
        <w:tc>
          <w:tcPr>
            <w:tcW w:w="2265" w:type="dxa"/>
          </w:tcPr>
          <w:p w14:paraId="24A23F98"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4-6: Energy Reuse Factor</w:t>
            </w:r>
          </w:p>
          <w:p w14:paraId="7F6E67F5"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4997159E"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442532B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chỉ định chỉ số Hệ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ố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ái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w:t>
            </w:r>
            <w:r w:rsidRPr="0003620D">
              <w:rPr>
                <w:rFonts w:ascii="Times New Roman" w:hAnsi="Times New Roman"/>
                <w:sz w:val="26"/>
                <w:szCs w:val="26"/>
                <w:shd w:val="clear" w:color="auto" w:fill="FFFFFF"/>
                <w:lang w:val="vi-VN"/>
              </w:rPr>
              <w:t>d</w:t>
            </w:r>
            <w:r w:rsidRPr="0003620D">
              <w:rPr>
                <w:rFonts w:ascii="Times New Roman" w:hAnsi="Times New Roman"/>
                <w:sz w:val="26"/>
                <w:szCs w:val="26"/>
                <w:shd w:val="clear" w:color="auto" w:fill="FFFFFF"/>
              </w:rPr>
              <w:t xml:space="preserve">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 xml:space="preserve">ăng </w:t>
            </w:r>
            <w:r w:rsidRPr="0003620D">
              <w:rPr>
                <w:rFonts w:ascii="Times New Roman" w:hAnsi="Times New Roman"/>
                <w:sz w:val="26"/>
                <w:szCs w:val="26"/>
                <w:shd w:val="clear" w:color="auto" w:fill="FFFFFF"/>
                <w:lang w:val="vi-VN"/>
              </w:rPr>
              <w:t>l</w:t>
            </w:r>
            <w:r w:rsidRPr="0003620D">
              <w:rPr>
                <w:rFonts w:ascii="Times New Roman" w:hAnsi="Times New Roman"/>
                <w:sz w:val="26"/>
                <w:szCs w:val="26"/>
                <w:shd w:val="clear" w:color="auto" w:fill="FFFFFF"/>
              </w:rPr>
              <w:t xml:space="preserve">ượng (ERF) là một KPI để đo lường mức độ tái sử dụng năng lượng tiêu thụ trong trung tâm dữ liệu; </w:t>
            </w:r>
          </w:p>
          <w:p w14:paraId="6217EBB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b) xác định phương pháp đo lường, tính toán và báo cáo ERF; </w:t>
            </w:r>
          </w:p>
          <w:p w14:paraId="4ABB1676"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 xml:space="preserve">c) mô tả ứng dụng của ERF và sự phân biệt giữa ERF và Hệ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ố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ái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w:t>
            </w:r>
            <w:r w:rsidRPr="0003620D">
              <w:rPr>
                <w:rFonts w:ascii="Times New Roman" w:hAnsi="Times New Roman"/>
                <w:sz w:val="26"/>
                <w:szCs w:val="26"/>
                <w:shd w:val="clear" w:color="auto" w:fill="FFFFFF"/>
                <w:lang w:val="vi-VN"/>
              </w:rPr>
              <w:t>d</w:t>
            </w:r>
            <w:r w:rsidRPr="0003620D">
              <w:rPr>
                <w:rFonts w:ascii="Times New Roman" w:hAnsi="Times New Roman"/>
                <w:sz w:val="26"/>
                <w:szCs w:val="26"/>
                <w:shd w:val="clear" w:color="auto" w:fill="FFFFFF"/>
              </w:rPr>
              <w:t xml:space="preserve">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 xml:space="preserve">ăng </w:t>
            </w:r>
            <w:r w:rsidRPr="0003620D">
              <w:rPr>
                <w:rFonts w:ascii="Times New Roman" w:hAnsi="Times New Roman"/>
                <w:sz w:val="26"/>
                <w:szCs w:val="26"/>
                <w:shd w:val="clear" w:color="auto" w:fill="FFFFFF"/>
                <w:lang w:val="vi-VN"/>
              </w:rPr>
              <w:t>l</w:t>
            </w:r>
            <w:r w:rsidRPr="0003620D">
              <w:rPr>
                <w:rFonts w:ascii="Times New Roman" w:hAnsi="Times New Roman"/>
                <w:sz w:val="26"/>
                <w:szCs w:val="26"/>
                <w:shd w:val="clear" w:color="auto" w:fill="FFFFFF"/>
              </w:rPr>
              <w:t>ượng (PUE). ERF phản ánh độ hiệu quả của quá trình tái sử dụng, mà không phải là một phần của trung tâm dữ liệu.</w:t>
            </w:r>
          </w:p>
        </w:tc>
      </w:tr>
      <w:tr w:rsidR="0003620D" w:rsidRPr="0003620D" w14:paraId="376925FB" w14:textId="77777777" w:rsidTr="000530CC">
        <w:tc>
          <w:tcPr>
            <w:tcW w:w="2265" w:type="dxa"/>
          </w:tcPr>
          <w:p w14:paraId="33F07B29"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50600-4-7</w:t>
            </w:r>
          </w:p>
        </w:tc>
        <w:tc>
          <w:tcPr>
            <w:tcW w:w="2265" w:type="dxa"/>
          </w:tcPr>
          <w:p w14:paraId="2BB19861"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Information technology - Data centre facilities and infrastructures - </w:t>
            </w:r>
            <w:r w:rsidRPr="0003620D">
              <w:rPr>
                <w:rFonts w:ascii="Times New Roman" w:hAnsi="Times New Roman"/>
                <w:sz w:val="26"/>
                <w:szCs w:val="26"/>
                <w:lang w:val="vi-VN"/>
              </w:rPr>
              <w:lastRenderedPageBreak/>
              <w:t>Part 4-7: Cooling Efficiency Ratio</w:t>
            </w:r>
          </w:p>
          <w:p w14:paraId="572F9BD3"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5879DEA5" w14:textId="12812229"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lastRenderedPageBreak/>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 định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ỷ số hiệu suất </w:t>
            </w:r>
            <w:r w:rsidR="00B65C5D">
              <w:rPr>
                <w:rFonts w:ascii="Times New Roman" w:hAnsi="Times New Roman"/>
                <w:sz w:val="26"/>
                <w:szCs w:val="26"/>
                <w:shd w:val="clear" w:color="auto" w:fill="FFFFFF"/>
              </w:rPr>
              <w:t>làm lạnh</w:t>
            </w:r>
            <w:r w:rsidRPr="0003620D">
              <w:rPr>
                <w:rFonts w:ascii="Times New Roman" w:hAnsi="Times New Roman"/>
                <w:sz w:val="26"/>
                <w:szCs w:val="26"/>
                <w:shd w:val="clear" w:color="auto" w:fill="FFFFFF"/>
              </w:rPr>
              <w:t xml:space="preserve"> (CER) là một </w:t>
            </w:r>
            <w:r w:rsidR="00901B21">
              <w:rPr>
                <w:rFonts w:ascii="Times New Roman" w:hAnsi="Times New Roman"/>
                <w:sz w:val="26"/>
                <w:szCs w:val="26"/>
                <w:shd w:val="clear" w:color="auto" w:fill="FFFFFF"/>
                <w:lang w:val="vi-VN"/>
              </w:rPr>
              <w:t>chỉ số chất lượng</w:t>
            </w:r>
            <w:r w:rsidRPr="0003620D">
              <w:rPr>
                <w:rFonts w:ascii="Times New Roman" w:hAnsi="Times New Roman"/>
                <w:sz w:val="26"/>
                <w:szCs w:val="26"/>
                <w:shd w:val="clear" w:color="auto" w:fill="FFFFFF"/>
              </w:rPr>
              <w:t xml:space="preserve"> chính (KPI) để đo lường việc sử dụng năng lượng một cách hiệu quả để điều </w:t>
            </w:r>
            <w:r w:rsidRPr="0003620D">
              <w:rPr>
                <w:rFonts w:ascii="Times New Roman" w:hAnsi="Times New Roman"/>
                <w:sz w:val="26"/>
                <w:szCs w:val="26"/>
                <w:shd w:val="clear" w:color="auto" w:fill="FFFFFF"/>
              </w:rPr>
              <w:lastRenderedPageBreak/>
              <w:t>chỉnh nhiệt độ của các không gian trong trung tâm dữ liệu.</w:t>
            </w:r>
          </w:p>
          <w:p w14:paraId="565F367C"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1DBA0505" w14:textId="579BAF4E"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ỷ số hiệu suất </w:t>
            </w:r>
            <w:r w:rsidR="00B65C5D">
              <w:rPr>
                <w:rFonts w:ascii="Times New Roman" w:hAnsi="Times New Roman"/>
                <w:sz w:val="26"/>
                <w:szCs w:val="26"/>
                <w:shd w:val="clear" w:color="auto" w:fill="FFFFFF"/>
              </w:rPr>
              <w:t>làm lạnh</w:t>
            </w:r>
            <w:r w:rsidRPr="0003620D">
              <w:rPr>
                <w:rFonts w:ascii="Times New Roman" w:hAnsi="Times New Roman"/>
                <w:sz w:val="26"/>
                <w:szCs w:val="26"/>
                <w:shd w:val="clear" w:color="auto" w:fill="FFFFFF"/>
              </w:rPr>
              <w:t xml:space="preserve"> (CER) của một trung tâm dữ liệu; </w:t>
            </w:r>
          </w:p>
          <w:p w14:paraId="045F5FB8"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mô tả mối quan hệ của chỉ số này với cơ sở hạ tầng trung tâm dữ liệu, thiết bị công nghệ thông tin và hoạt động công nghệ thông tin;</w:t>
            </w:r>
          </w:p>
          <w:p w14:paraId="59E7D395"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xác định phương pháp đo lường, tính toán và báo cáo thông số này;</w:t>
            </w:r>
          </w:p>
          <w:p w14:paraId="2DACEEBF"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cung cấp thông tin về cách hiểu đúng về CER. Phụ lục A mô tả mối tương quan giữa CER và các KPI khác.</w:t>
            </w:r>
          </w:p>
          <w:p w14:paraId="5E4FD347"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Phụ lục B cung cấp ví dụ về việc áp dụng CER. Phụ lục C giới thiệu các tham số ảnh hưởng đến CER. Phụ lục D mô tả các yêu cầu và khuyến nghị cho các phân biệt của KPI liên quan đến CER.</w:t>
            </w:r>
          </w:p>
        </w:tc>
      </w:tr>
      <w:tr w:rsidR="0003620D" w:rsidRPr="0003620D" w14:paraId="4FF413D8" w14:textId="77777777" w:rsidTr="000530CC">
        <w:tc>
          <w:tcPr>
            <w:tcW w:w="2265" w:type="dxa"/>
          </w:tcPr>
          <w:p w14:paraId="57E2EA32" w14:textId="3E9BF0E4"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50600-4-8</w:t>
            </w:r>
          </w:p>
        </w:tc>
        <w:tc>
          <w:tcPr>
            <w:tcW w:w="2265" w:type="dxa"/>
          </w:tcPr>
          <w:p w14:paraId="373F5C1A"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4-8: Carbon usage effectiveness</w:t>
            </w:r>
          </w:p>
          <w:p w14:paraId="14BD266B"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37778999" w14:textId="121D341E"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w:t>
            </w:r>
            <w:r w:rsidR="001118D8">
              <w:rPr>
                <w:rFonts w:ascii="Times New Roman" w:hAnsi="Times New Roman"/>
                <w:sz w:val="26"/>
                <w:szCs w:val="26"/>
                <w:shd w:val="clear" w:color="auto" w:fill="FFFFFF"/>
              </w:rPr>
              <w:t>ê</w:t>
            </w:r>
            <w:r w:rsidRPr="0003620D">
              <w:rPr>
                <w:rFonts w:ascii="Times New Roman" w:hAnsi="Times New Roman"/>
                <w:sz w:val="26"/>
                <w:szCs w:val="26"/>
                <w:shd w:val="clear" w:color="auto" w:fill="FFFFFF"/>
              </w:rPr>
              <w:t>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w:t>
            </w:r>
            <w:r w:rsidRPr="0003620D">
              <w:rPr>
                <w:rFonts w:ascii="Times New Roman" w:hAnsi="Times New Roman"/>
                <w:sz w:val="26"/>
                <w:szCs w:val="26"/>
                <w:shd w:val="clear" w:color="auto" w:fill="FFFFFF"/>
                <w:lang w:val="vi-VN"/>
              </w:rPr>
              <w:t xml:space="preserve"> định</w:t>
            </w:r>
            <w:r w:rsidRPr="0003620D">
              <w:rPr>
                <w:rFonts w:ascii="Times New Roman" w:hAnsi="Times New Roman"/>
                <w:sz w:val="26"/>
                <w:szCs w:val="26"/>
                <w:shd w:val="clear" w:color="auto" w:fill="FFFFFF"/>
              </w:rPr>
              <w:t xml:space="preserve"> chỉ số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iệu quả Sử dụng Carbon (CUE) như là một KPI để đo lường lượng khí CO</w:t>
            </w:r>
            <w:r w:rsidRPr="0003620D">
              <w:rPr>
                <w:rFonts w:ascii="Times New Roman" w:hAnsi="Times New Roman"/>
                <w:sz w:val="26"/>
                <w:szCs w:val="26"/>
                <w:shd w:val="clear" w:color="auto" w:fill="FFFFFF"/>
                <w:vertAlign w:val="subscript"/>
              </w:rPr>
              <w:t>2</w:t>
            </w:r>
            <w:r w:rsidRPr="0003620D">
              <w:rPr>
                <w:rFonts w:ascii="Times New Roman" w:hAnsi="Times New Roman"/>
                <w:sz w:val="26"/>
                <w:szCs w:val="26"/>
                <w:shd w:val="clear" w:color="auto" w:fill="FFFFFF"/>
              </w:rPr>
              <w:t xml:space="preserve"> phát thải của một trung tâm dữ liệu trong giai đoạn sử dụng của vòng đời của trung tâm dữ liệu.</w:t>
            </w:r>
          </w:p>
          <w:p w14:paraId="7FE68B4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w:t>
            </w:r>
            <w:r w:rsidRPr="0003620D">
              <w:rPr>
                <w:rFonts w:ascii="Times New Roman" w:hAnsi="Times New Roman"/>
                <w:sz w:val="26"/>
                <w:szCs w:val="26"/>
                <w:shd w:val="clear" w:color="auto" w:fill="FFFFFF"/>
                <w:lang w:val="vi-VN"/>
              </w:rPr>
              <w:t>:</w:t>
            </w:r>
          </w:p>
          <w:p w14:paraId="4A7ABED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a) xác định chỉ số Hiệu quả Sử dụng Carbon (CUE) của một trung tâm dữ liệu</w:t>
            </w:r>
            <w:r w:rsidRPr="0003620D">
              <w:rPr>
                <w:rFonts w:ascii="Times New Roman" w:hAnsi="Times New Roman"/>
                <w:sz w:val="26"/>
                <w:szCs w:val="26"/>
                <w:shd w:val="clear" w:color="auto" w:fill="FFFFFF"/>
                <w:lang w:val="vi-VN"/>
              </w:rPr>
              <w:t>;</w:t>
            </w:r>
          </w:p>
          <w:p w14:paraId="61F85562"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giới thiệu các loại đo lường CUE</w:t>
            </w:r>
            <w:r w:rsidRPr="0003620D">
              <w:rPr>
                <w:rFonts w:ascii="Times New Roman" w:hAnsi="Times New Roman"/>
                <w:sz w:val="26"/>
                <w:szCs w:val="26"/>
                <w:shd w:val="clear" w:color="auto" w:fill="FFFFFF"/>
                <w:lang w:val="vi-VN"/>
              </w:rPr>
              <w:t>;</w:t>
            </w:r>
          </w:p>
          <w:p w14:paraId="0EF0868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mô tả mối quan hệ của KPI này với cơ sở hạ tầng, thiết bị công nghệ thông tin và các hoạt động công nghệ thông tin của một trung tâm dữ liệu</w:t>
            </w:r>
            <w:r w:rsidRPr="0003620D">
              <w:rPr>
                <w:rFonts w:ascii="Times New Roman" w:hAnsi="Times New Roman"/>
                <w:sz w:val="26"/>
                <w:szCs w:val="26"/>
                <w:shd w:val="clear" w:color="auto" w:fill="FFFFFF"/>
                <w:lang w:val="vi-VN"/>
              </w:rPr>
              <w:t>;</w:t>
            </w:r>
          </w:p>
          <w:p w14:paraId="3C66323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định nghĩa việc đo lường, tính toán và báo cáo chỉ số này</w:t>
            </w:r>
            <w:r w:rsidRPr="0003620D">
              <w:rPr>
                <w:rFonts w:ascii="Times New Roman" w:hAnsi="Times New Roman"/>
                <w:sz w:val="26"/>
                <w:szCs w:val="26"/>
                <w:shd w:val="clear" w:color="auto" w:fill="FFFFFF"/>
                <w:lang w:val="vi-VN"/>
              </w:rPr>
              <w:t>;</w:t>
            </w:r>
          </w:p>
          <w:p w14:paraId="37A1A999"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lastRenderedPageBreak/>
              <w:t>e) cung cấp thông</w:t>
            </w:r>
            <w:r w:rsidRPr="0003620D">
              <w:rPr>
                <w:rFonts w:ascii="Times New Roman" w:hAnsi="Times New Roman"/>
                <w:sz w:val="26"/>
                <w:szCs w:val="26"/>
                <w:shd w:val="clear" w:color="auto" w:fill="FFFFFF"/>
                <w:lang w:val="vi-VN"/>
              </w:rPr>
              <w:t xml:space="preserve"> tin </w:t>
            </w:r>
            <w:r w:rsidRPr="0003620D">
              <w:rPr>
                <w:rFonts w:ascii="Times New Roman" w:hAnsi="Times New Roman"/>
                <w:sz w:val="26"/>
                <w:szCs w:val="26"/>
                <w:lang w:val="vi-VN"/>
              </w:rPr>
              <w:t>chính xác về</w:t>
            </w:r>
            <w:r w:rsidRPr="0003620D">
              <w:rPr>
                <w:rFonts w:ascii="Times New Roman" w:hAnsi="Times New Roman"/>
                <w:sz w:val="26"/>
                <w:szCs w:val="26"/>
                <w:shd w:val="clear" w:color="auto" w:fill="FFFFFF"/>
              </w:rPr>
              <w:t xml:space="preserve"> chỉ số CUE.</w:t>
            </w:r>
          </w:p>
        </w:tc>
      </w:tr>
      <w:tr w:rsidR="0003620D" w:rsidRPr="0003620D" w14:paraId="598052E5" w14:textId="77777777" w:rsidTr="000530CC">
        <w:tc>
          <w:tcPr>
            <w:tcW w:w="2265" w:type="dxa"/>
          </w:tcPr>
          <w:p w14:paraId="61AA2753" w14:textId="3FA1125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50600-4-9</w:t>
            </w:r>
          </w:p>
        </w:tc>
        <w:tc>
          <w:tcPr>
            <w:tcW w:w="2265" w:type="dxa"/>
          </w:tcPr>
          <w:p w14:paraId="57B37D88"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4-9: Water Usage Effectiveness</w:t>
            </w:r>
          </w:p>
          <w:p w14:paraId="1BE3B734"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09F815D8"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 định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 xml:space="preserve">iệu suất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dụng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ước (WUE) là một KPI để đo lường lượng nước tiêu thụ của một trung tâm dữ liệu trong giai đoạn sử dụng của vòng đời của trung tâm dữ liệu.</w:t>
            </w:r>
          </w:p>
          <w:p w14:paraId="0D6AABAE"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5048EC21"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 xml:space="preserve">iệu suất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dụng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ước (WUE) của một trung tâm dữ liệu;</w:t>
            </w:r>
          </w:p>
          <w:p w14:paraId="1897977D"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giới thiệu các loại đo lường</w:t>
            </w:r>
            <w:r w:rsidRPr="0003620D">
              <w:rPr>
                <w:rFonts w:ascii="Times New Roman" w:hAnsi="Times New Roman"/>
                <w:sz w:val="26"/>
                <w:szCs w:val="26"/>
                <w:shd w:val="clear" w:color="auto" w:fill="FFFFFF"/>
                <w:lang w:val="vi-VN"/>
              </w:rPr>
              <w:t xml:space="preserve"> </w:t>
            </w:r>
            <w:r w:rsidRPr="0003620D">
              <w:rPr>
                <w:rFonts w:ascii="Times New Roman" w:hAnsi="Times New Roman"/>
                <w:sz w:val="26"/>
                <w:szCs w:val="26"/>
                <w:shd w:val="clear" w:color="auto" w:fill="FFFFFF"/>
              </w:rPr>
              <w:t xml:space="preserve">của WUE; </w:t>
            </w:r>
          </w:p>
          <w:p w14:paraId="0A9B66A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mô tả mối quan hệ của KPI này đối với cơ sở hạ tầng của trung tâm dữ liệu, thiết bị công nghệ thông tin và các hoạt động công nghệ thông tin;</w:t>
            </w:r>
          </w:p>
          <w:p w14:paraId="06BE297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xác định việc đo lường, tính toán và báo cáo của tham số;</w:t>
            </w:r>
          </w:p>
          <w:p w14:paraId="4849FD1E"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e) cung cấp thông tin chính</w:t>
            </w:r>
            <w:r w:rsidRPr="0003620D">
              <w:rPr>
                <w:rFonts w:ascii="Times New Roman" w:hAnsi="Times New Roman"/>
                <w:sz w:val="26"/>
                <w:szCs w:val="26"/>
                <w:shd w:val="clear" w:color="auto" w:fill="FFFFFF"/>
                <w:lang w:val="vi-VN"/>
              </w:rPr>
              <w:t xml:space="preserve"> xác về</w:t>
            </w:r>
            <w:r w:rsidRPr="0003620D">
              <w:rPr>
                <w:rFonts w:ascii="Times New Roman" w:hAnsi="Times New Roman"/>
                <w:sz w:val="26"/>
                <w:szCs w:val="26"/>
                <w:shd w:val="clear" w:color="auto" w:fill="FFFFFF"/>
              </w:rPr>
              <w:t xml:space="preserve"> WUE.</w:t>
            </w:r>
          </w:p>
        </w:tc>
      </w:tr>
    </w:tbl>
    <w:p w14:paraId="7B83E712" w14:textId="32F01254" w:rsidR="0003620D" w:rsidRDefault="00CB5FE8" w:rsidP="00CB5FE8">
      <w:pPr>
        <w:pStyle w:val="Heading2"/>
        <w:numPr>
          <w:ilvl w:val="1"/>
          <w:numId w:val="15"/>
        </w:numPr>
        <w:snapToGrid w:val="0"/>
        <w:spacing w:before="120" w:after="120" w:line="264" w:lineRule="auto"/>
        <w:ind w:left="567" w:hanging="567"/>
        <w:rPr>
          <w:rFonts w:ascii="Times New Roman" w:hAnsi="Times New Roman"/>
          <w:color w:val="000000"/>
          <w:lang w:val="vi-VN"/>
        </w:rPr>
      </w:pPr>
      <w:bookmarkStart w:id="55" w:name="_Toc173371023"/>
      <w:r w:rsidRPr="00CB5FE8">
        <w:rPr>
          <w:rFonts w:ascii="Times New Roman" w:hAnsi="Times New Roman"/>
          <w:color w:val="000000"/>
          <w:lang w:val="vi-VN"/>
        </w:rPr>
        <w:t>Các tổ chức tiêu chuẩn hoá khu vực</w:t>
      </w:r>
      <w:bookmarkEnd w:id="55"/>
    </w:p>
    <w:p w14:paraId="547EBBE6" w14:textId="263137A9" w:rsidR="00CB5FE8" w:rsidRPr="00CB5FE8" w:rsidRDefault="00CB5FE8" w:rsidP="00CB5FE8">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6" w:name="_Toc173371024"/>
      <w:r w:rsidRPr="00CB5FE8">
        <w:rPr>
          <w:rFonts w:ascii="Times New Roman" w:hAnsi="Times New Roman"/>
          <w:color w:val="000000" w:themeColor="text1"/>
          <w:sz w:val="26"/>
          <w:szCs w:val="26"/>
          <w:lang w:val="vi-VN"/>
        </w:rPr>
        <w:t xml:space="preserve">Cục tiêu chuẩn Ấn </w:t>
      </w:r>
      <w:r w:rsidR="001118D8">
        <w:rPr>
          <w:rFonts w:ascii="Times New Roman" w:hAnsi="Times New Roman"/>
          <w:color w:val="000000" w:themeColor="text1"/>
          <w:sz w:val="26"/>
          <w:szCs w:val="26"/>
          <w:lang w:val="vi-VN"/>
        </w:rPr>
        <w:t>Đ</w:t>
      </w:r>
      <w:r w:rsidRPr="00CB5FE8">
        <w:rPr>
          <w:rFonts w:ascii="Times New Roman" w:hAnsi="Times New Roman"/>
          <w:color w:val="000000" w:themeColor="text1"/>
          <w:sz w:val="26"/>
          <w:szCs w:val="26"/>
          <w:lang w:val="vi-VN"/>
        </w:rPr>
        <w:t>ộ (BIS)</w:t>
      </w:r>
      <w:bookmarkEnd w:id="56"/>
    </w:p>
    <w:p w14:paraId="6C91E37E" w14:textId="34D873F6" w:rsidR="00CB5FE8" w:rsidRDefault="00CB5FE8" w:rsidP="00CB5FE8">
      <w:pPr>
        <w:snapToGrid w:val="0"/>
        <w:spacing w:before="120" w:after="120" w:line="288" w:lineRule="auto"/>
        <w:ind w:firstLine="709"/>
        <w:jc w:val="both"/>
        <w:rPr>
          <w:rFonts w:ascii="Times New Roman" w:hAnsi="Times New Roman"/>
          <w:color w:val="000000"/>
          <w:sz w:val="26"/>
          <w:szCs w:val="26"/>
          <w:lang w:val="vi-VN"/>
        </w:rPr>
      </w:pPr>
      <w:r w:rsidRPr="00CB5FE8">
        <w:rPr>
          <w:rFonts w:ascii="Times New Roman" w:hAnsi="Times New Roman"/>
          <w:color w:val="000000"/>
          <w:sz w:val="26"/>
          <w:szCs w:val="26"/>
          <w:lang w:val="vi-VN"/>
        </w:rPr>
        <w:t xml:space="preserve">Chính phủ Ấn Độ </w:t>
      </w:r>
      <w:r>
        <w:rPr>
          <w:rFonts w:ascii="Times New Roman" w:hAnsi="Times New Roman"/>
          <w:color w:val="000000"/>
          <w:sz w:val="26"/>
          <w:szCs w:val="26"/>
          <w:lang w:val="vi-VN"/>
        </w:rPr>
        <w:t>nhận thức</w:t>
      </w:r>
      <w:r w:rsidRPr="00CB5FE8">
        <w:rPr>
          <w:rFonts w:ascii="Times New Roman" w:hAnsi="Times New Roman"/>
          <w:color w:val="000000"/>
          <w:sz w:val="26"/>
          <w:szCs w:val="26"/>
          <w:lang w:val="vi-VN"/>
        </w:rPr>
        <w:t xml:space="preserve"> cần phải thúc đẩy các hoạt động chuẩn hóa và kiểm soát chất lượng, đồng thời cần phải xây dựng một chiến lược quốc gia để công nhận và coi trọng các tiêu chuẩn một cách phù hợp, đồng thời tích hợp chúng với sự tăng trưởng và phát triển của sản xuất và xuất khẩu trong các ngành khác nhau.</w:t>
      </w:r>
      <w:r>
        <w:rPr>
          <w:rFonts w:ascii="Times New Roman" w:hAnsi="Times New Roman"/>
          <w:color w:val="000000"/>
          <w:sz w:val="26"/>
          <w:szCs w:val="26"/>
          <w:lang w:val="vi-VN"/>
        </w:rPr>
        <w:t xml:space="preserve"> </w:t>
      </w:r>
      <w:r w:rsidRPr="00CB5FE8">
        <w:rPr>
          <w:rFonts w:ascii="Times New Roman" w:hAnsi="Times New Roman"/>
          <w:color w:val="000000"/>
          <w:sz w:val="26"/>
          <w:szCs w:val="26"/>
          <w:lang w:val="vi-VN"/>
        </w:rPr>
        <w:t xml:space="preserve">Do đó, </w:t>
      </w:r>
      <w:r>
        <w:rPr>
          <w:rFonts w:ascii="Times New Roman" w:hAnsi="Times New Roman"/>
          <w:color w:val="000000"/>
          <w:sz w:val="26"/>
          <w:szCs w:val="26"/>
          <w:lang w:val="vi-VN"/>
        </w:rPr>
        <w:t>năm 1987, C</w:t>
      </w:r>
      <w:r w:rsidRPr="00CB5FE8">
        <w:rPr>
          <w:rFonts w:ascii="Times New Roman" w:hAnsi="Times New Roman"/>
          <w:color w:val="000000"/>
          <w:sz w:val="26"/>
          <w:szCs w:val="26"/>
          <w:lang w:val="vi-VN"/>
        </w:rPr>
        <w:t xml:space="preserve">hính phủ Ấn Độ đã thành lập một tổ chức theo luật định là cơ quan tiêu chuẩn quốc gia có tên là Cục </w:t>
      </w:r>
      <w:r>
        <w:rPr>
          <w:rFonts w:ascii="Times New Roman" w:hAnsi="Times New Roman"/>
          <w:color w:val="000000"/>
          <w:sz w:val="26"/>
          <w:szCs w:val="26"/>
          <w:lang w:val="vi-VN"/>
        </w:rPr>
        <w:t>t</w:t>
      </w:r>
      <w:r w:rsidRPr="00CB5FE8">
        <w:rPr>
          <w:rFonts w:ascii="Times New Roman" w:hAnsi="Times New Roman"/>
          <w:color w:val="000000"/>
          <w:sz w:val="26"/>
          <w:szCs w:val="26"/>
          <w:lang w:val="vi-VN"/>
        </w:rPr>
        <w:t>iêu chuẩn Ấn Độ (BIS), có đủ quyền tự chủ cũng như tính linh hoạt trong hoạt động để đạt được sự phát triển hài hòa của các hoạt động chuẩn hóa, đánh dấu chứng nhận và các vấn đề liên quan.</w:t>
      </w:r>
    </w:p>
    <w:p w14:paraId="72F70224" w14:textId="5710BBCB" w:rsidR="00CB5FE8" w:rsidRDefault="00CB5FE8" w:rsidP="00CB5FE8">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Đối với</w:t>
      </w:r>
      <w:r w:rsidR="001E7D12">
        <w:rPr>
          <w:rFonts w:ascii="Times New Roman" w:hAnsi="Times New Roman"/>
          <w:color w:val="000000"/>
          <w:sz w:val="26"/>
          <w:szCs w:val="26"/>
          <w:lang w:val="vi-VN"/>
        </w:rPr>
        <w:t xml:space="preserve"> TTDL, BIS đã ban hành các tiêu chuẩn về các KPI là bộ tiêu chuẩn</w:t>
      </w:r>
      <w:r w:rsidR="00B515B7">
        <w:rPr>
          <w:rFonts w:ascii="Times New Roman" w:hAnsi="Times New Roman"/>
          <w:color w:val="000000"/>
          <w:sz w:val="26"/>
          <w:szCs w:val="26"/>
          <w:lang w:val="vi-VN"/>
        </w:rPr>
        <w:t xml:space="preserve"> IS/ISO/IEC 30134. Bộ tiêu chuẩn này hoàn toàn tương đương với bộ tiêu chuẩn ISO/IEC 30134.</w:t>
      </w:r>
    </w:p>
    <w:p w14:paraId="586909D9" w14:textId="7D267FDF" w:rsidR="001E7D12" w:rsidRPr="00B515B7" w:rsidRDefault="001E7D12" w:rsidP="00B515B7">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7" w:name="_Toc173371025"/>
      <w:r w:rsidRPr="00B515B7">
        <w:rPr>
          <w:rFonts w:ascii="Times New Roman" w:hAnsi="Times New Roman"/>
          <w:color w:val="000000" w:themeColor="text1"/>
          <w:sz w:val="26"/>
          <w:szCs w:val="26"/>
          <w:lang w:val="vi-VN"/>
        </w:rPr>
        <w:t>H</w:t>
      </w:r>
      <w:r w:rsidR="00B515B7">
        <w:rPr>
          <w:rFonts w:ascii="Times New Roman" w:hAnsi="Times New Roman"/>
          <w:color w:val="000000" w:themeColor="text1"/>
          <w:sz w:val="26"/>
          <w:szCs w:val="26"/>
          <w:lang w:val="vi-VN"/>
        </w:rPr>
        <w:t>iệp h</w:t>
      </w:r>
      <w:r w:rsidRPr="00B515B7">
        <w:rPr>
          <w:rFonts w:ascii="Times New Roman" w:hAnsi="Times New Roman"/>
          <w:color w:val="000000" w:themeColor="text1"/>
          <w:sz w:val="26"/>
          <w:szCs w:val="26"/>
          <w:lang w:val="vi-VN"/>
        </w:rPr>
        <w:t xml:space="preserve">ội tiêu chuẩn </w:t>
      </w:r>
      <w:r w:rsidR="001118D8">
        <w:rPr>
          <w:rFonts w:ascii="Times New Roman" w:hAnsi="Times New Roman"/>
          <w:color w:val="000000" w:themeColor="text1"/>
          <w:sz w:val="26"/>
          <w:szCs w:val="26"/>
          <w:lang w:val="vi-VN"/>
        </w:rPr>
        <w:t>C</w:t>
      </w:r>
      <w:r w:rsidRPr="00B515B7">
        <w:rPr>
          <w:rFonts w:ascii="Times New Roman" w:hAnsi="Times New Roman"/>
          <w:color w:val="000000" w:themeColor="text1"/>
          <w:sz w:val="26"/>
          <w:szCs w:val="26"/>
          <w:lang w:val="vi-VN"/>
        </w:rPr>
        <w:t>anada (CSA)</w:t>
      </w:r>
      <w:bookmarkEnd w:id="57"/>
    </w:p>
    <w:p w14:paraId="59BA7429" w14:textId="77777777" w:rsidR="001E7D12" w:rsidRDefault="001E7D12" w:rsidP="001E7D12">
      <w:pPr>
        <w:snapToGrid w:val="0"/>
        <w:spacing w:before="120" w:after="120" w:line="288" w:lineRule="auto"/>
        <w:ind w:firstLine="709"/>
        <w:jc w:val="both"/>
        <w:rPr>
          <w:rFonts w:ascii="Times New Roman" w:hAnsi="Times New Roman"/>
          <w:color w:val="000000"/>
          <w:sz w:val="26"/>
          <w:szCs w:val="26"/>
          <w:lang w:val="vi-VN"/>
        </w:rPr>
      </w:pPr>
      <w:r w:rsidRPr="001E7D12">
        <w:rPr>
          <w:rFonts w:ascii="Times New Roman" w:hAnsi="Times New Roman"/>
          <w:color w:val="000000"/>
          <w:sz w:val="26"/>
          <w:szCs w:val="26"/>
          <w:lang w:val="vi-VN"/>
        </w:rPr>
        <w:t xml:space="preserve">CSA – Canadian Standards Association, là Hiệp hội Tiêu chuẩn Canada. Tiêu chuẩn CSA là tiêu chuẩn an toàn ở Canada cho các thiết bị điện, thiết bị y tế, máy móc, thiết bị,… Hiệp hội tiêu chuẩn Canada được thành lập vào năm 1919 với tư cách là một </w:t>
      </w:r>
      <w:r w:rsidRPr="001E7D12">
        <w:rPr>
          <w:rFonts w:ascii="Times New Roman" w:hAnsi="Times New Roman"/>
          <w:color w:val="000000"/>
          <w:sz w:val="26"/>
          <w:szCs w:val="26"/>
          <w:lang w:val="vi-VN"/>
        </w:rPr>
        <w:lastRenderedPageBreak/>
        <w:t>tổ chức tiêu chuẩn hóa phi lợi nhuận, phi chính phủ. Trong Nhóm CSA ngày nay, Hiệp hội Tiêu chuẩn Canada phát triển các tiêu chuẩn và CSA International tiến hành thử nghiệm và chứng nhận sản phẩm.</w:t>
      </w:r>
    </w:p>
    <w:p w14:paraId="2295C14B" w14:textId="3C595559" w:rsidR="00B515B7" w:rsidRDefault="00B515B7" w:rsidP="001E7D12">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CSA cũng đã ban hành bộ tiêu chuẩn về các KPI của TTDL là bộ tiêu chuẩn CAN/CSA-ISO/IEC 30134. Bộ tiêu chuẩn này hoàn toàn tương đương với bộ tiêu chuẩn ISO/IEC 30134.</w:t>
      </w:r>
    </w:p>
    <w:p w14:paraId="1900069F" w14:textId="153C1EF6" w:rsidR="00B515B7" w:rsidRPr="00B515B7" w:rsidRDefault="00B515B7" w:rsidP="00B515B7">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8" w:name="_Toc173371026"/>
      <w:r w:rsidRPr="00B515B7">
        <w:rPr>
          <w:rFonts w:ascii="Times New Roman" w:hAnsi="Times New Roman"/>
          <w:color w:val="000000" w:themeColor="text1"/>
          <w:sz w:val="26"/>
          <w:szCs w:val="26"/>
          <w:lang w:val="vi-VN"/>
        </w:rPr>
        <w:t>Cơ quan tiêu chuẩn quốc gia Vương quốc Anh (BSI)</w:t>
      </w:r>
      <w:bookmarkEnd w:id="58"/>
    </w:p>
    <w:p w14:paraId="4704F021" w14:textId="77777777" w:rsidR="00B515B7" w:rsidRP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sidRPr="00B515B7">
        <w:rPr>
          <w:rFonts w:ascii="Times New Roman" w:hAnsi="Times New Roman"/>
          <w:color w:val="000000"/>
          <w:sz w:val="26"/>
          <w:szCs w:val="26"/>
          <w:lang w:val="vi-VN"/>
        </w:rPr>
        <w:t>BSI được công nhận là Cơ quan Tiêu chuẩn Quốc gia Vương Quốc Anh (NSB) bởi Chính phủ Anh. Công bố này chính thức được hệ thống hóa trong Biên bản ghi nhớ (MoU) giữa Chính phủ Vương quốc Anh và Viện Tiêu chuẩn Anh, đề cập đến việc BSI hoạt động như là Cơ quan Tiêu chuẩn Quốc gia Vương quốc Anh.</w:t>
      </w:r>
    </w:p>
    <w:p w14:paraId="237CF3D0" w14:textId="3BA51D7C" w:rsid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sidRPr="00B515B7">
        <w:rPr>
          <w:rFonts w:ascii="Times New Roman" w:hAnsi="Times New Roman"/>
          <w:color w:val="000000"/>
          <w:sz w:val="26"/>
          <w:szCs w:val="26"/>
          <w:lang w:val="vi-VN"/>
        </w:rPr>
        <w:t>Biên bản ghi nhớ công nhậ</w:t>
      </w:r>
      <w:r>
        <w:rPr>
          <w:rFonts w:ascii="Times New Roman" w:hAnsi="Times New Roman"/>
          <w:color w:val="000000"/>
          <w:sz w:val="26"/>
          <w:szCs w:val="26"/>
          <w:lang w:val="vi-VN"/>
        </w:rPr>
        <w:t>n</w:t>
      </w:r>
      <w:r w:rsidRPr="00B515B7">
        <w:rPr>
          <w:rFonts w:ascii="Times New Roman" w:hAnsi="Times New Roman"/>
          <w:color w:val="000000"/>
          <w:sz w:val="26"/>
          <w:szCs w:val="26"/>
          <w:lang w:val="vi-VN"/>
        </w:rPr>
        <w:t xml:space="preserve"> BSI như là thành viên Anh quốc của các tổ chức tiêu chuẩn quốc tế, tiêu chuẩn ISO và IEC; các tổ chức tiêu chuẩn châu Âu, CEN và CENELEC; và như Tổ chức Tiêu chuẩn Quốc gia (NSO</w:t>
      </w:r>
      <w:r>
        <w:rPr>
          <w:rFonts w:ascii="Times New Roman" w:hAnsi="Times New Roman"/>
          <w:color w:val="000000"/>
          <w:sz w:val="26"/>
          <w:szCs w:val="26"/>
          <w:lang w:val="vi-VN"/>
        </w:rPr>
        <w:t xml:space="preserve"> </w:t>
      </w:r>
      <w:r w:rsidRPr="00B515B7">
        <w:rPr>
          <w:rFonts w:ascii="Times New Roman" w:hAnsi="Times New Roman"/>
          <w:color w:val="000000"/>
          <w:sz w:val="26"/>
          <w:szCs w:val="26"/>
          <w:lang w:val="vi-VN"/>
        </w:rPr>
        <w:t>tham gia đại diện cho Vương quốc Anh trong ETSI.</w:t>
      </w:r>
    </w:p>
    <w:p w14:paraId="73EBC0B1" w14:textId="43FC449A" w:rsid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CSA cũng đã ban hành bộ tiêu chuẩn về các KPI của TTDL là bộ tiêu chuẩn BS ISO/IEC 30134. Bộ tiêu chuẩn này hoàn toàn tương đương với bộ tiêu chuẩn ISO/IEC 30134.</w:t>
      </w:r>
    </w:p>
    <w:p w14:paraId="08565AF3" w14:textId="5E81F5CE" w:rsidR="00B515B7" w:rsidRDefault="006B429C" w:rsidP="006B429C">
      <w:pPr>
        <w:pStyle w:val="Heading2"/>
        <w:numPr>
          <w:ilvl w:val="1"/>
          <w:numId w:val="15"/>
        </w:numPr>
        <w:snapToGrid w:val="0"/>
        <w:spacing w:before="120" w:after="120" w:line="264" w:lineRule="auto"/>
        <w:ind w:left="567" w:hanging="567"/>
        <w:rPr>
          <w:rFonts w:ascii="Times New Roman" w:hAnsi="Times New Roman"/>
          <w:color w:val="000000"/>
          <w:lang w:val="vi-VN"/>
        </w:rPr>
      </w:pPr>
      <w:bookmarkStart w:id="59" w:name="_Toc173371027"/>
      <w:r>
        <w:rPr>
          <w:rFonts w:ascii="Times New Roman" w:hAnsi="Times New Roman"/>
          <w:color w:val="000000"/>
          <w:lang w:val="vi-VN"/>
        </w:rPr>
        <w:t>Nhận xét chung</w:t>
      </w:r>
      <w:bookmarkEnd w:id="59"/>
    </w:p>
    <w:p w14:paraId="68936FE5" w14:textId="7861BD89" w:rsidR="006B429C" w:rsidRPr="0087598F" w:rsidRDefault="006B429C" w:rsidP="0087598F">
      <w:pPr>
        <w:snapToGrid w:val="0"/>
        <w:spacing w:before="120" w:after="120" w:line="288" w:lineRule="auto"/>
        <w:ind w:firstLine="709"/>
        <w:jc w:val="both"/>
        <w:rPr>
          <w:rFonts w:ascii="Times New Roman" w:hAnsi="Times New Roman"/>
          <w:color w:val="000000"/>
          <w:sz w:val="26"/>
          <w:szCs w:val="26"/>
          <w:lang w:val="vi-VN"/>
        </w:rPr>
      </w:pPr>
      <w:r w:rsidRPr="0087598F">
        <w:rPr>
          <w:rFonts w:ascii="Times New Roman" w:hAnsi="Times New Roman"/>
          <w:color w:val="000000"/>
          <w:sz w:val="26"/>
          <w:szCs w:val="26"/>
          <w:lang w:val="vi-VN"/>
        </w:rPr>
        <w:t xml:space="preserve">Qua những phân tích trên thấy rằng, các tổ chức tiêu chuẩn quốc tế và </w:t>
      </w:r>
      <w:r w:rsidR="0087598F" w:rsidRPr="0087598F">
        <w:rPr>
          <w:rFonts w:ascii="Times New Roman" w:hAnsi="Times New Roman"/>
          <w:color w:val="000000"/>
          <w:sz w:val="26"/>
          <w:szCs w:val="26"/>
          <w:lang w:val="vi-VN"/>
        </w:rPr>
        <w:t>c</w:t>
      </w:r>
      <w:r w:rsidRPr="0087598F">
        <w:rPr>
          <w:rFonts w:ascii="Times New Roman" w:hAnsi="Times New Roman"/>
          <w:color w:val="000000"/>
          <w:sz w:val="26"/>
          <w:szCs w:val="26"/>
          <w:lang w:val="vi-VN"/>
        </w:rPr>
        <w:t xml:space="preserve">ác tổ chức tiêu chuẩn khu vực tại các quốc gia đã lựa chọn một bộ chỉ số chất lượng chính cho TTDL, bộ chỉ số này </w:t>
      </w:r>
      <w:r w:rsidR="0087598F" w:rsidRPr="0087598F">
        <w:rPr>
          <w:rFonts w:ascii="Times New Roman" w:hAnsi="Times New Roman"/>
          <w:color w:val="000000"/>
          <w:sz w:val="26"/>
          <w:szCs w:val="26"/>
          <w:lang w:val="vi-VN"/>
        </w:rPr>
        <w:t>đã được hệ thống trong bộ tiêu chuẩn ISO/IEC 30134. Bộ tiêu chuẩn ISO/IEC này được các nước phát triển về công nghệ nghệ thông tin lựa chọn làm tiêu chuẩn tham chiếu cho các tiêu chuẩn khu vực tại nước họ</w:t>
      </w:r>
      <w:r w:rsidR="0087598F">
        <w:rPr>
          <w:rFonts w:ascii="Times New Roman" w:hAnsi="Times New Roman"/>
          <w:color w:val="000000"/>
          <w:sz w:val="26"/>
          <w:szCs w:val="26"/>
          <w:lang w:val="vi-VN"/>
        </w:rPr>
        <w:t>, như Anh, Canada, Ấn Độ</w:t>
      </w:r>
      <w:r w:rsidR="0087598F" w:rsidRPr="0087598F">
        <w:rPr>
          <w:rFonts w:ascii="Times New Roman" w:hAnsi="Times New Roman"/>
          <w:color w:val="000000"/>
          <w:sz w:val="26"/>
          <w:szCs w:val="26"/>
          <w:lang w:val="vi-VN"/>
        </w:rPr>
        <w:t xml:space="preserve">. </w:t>
      </w:r>
      <w:r w:rsidR="0087598F">
        <w:rPr>
          <w:rFonts w:ascii="Times New Roman" w:hAnsi="Times New Roman"/>
          <w:color w:val="000000"/>
          <w:sz w:val="26"/>
          <w:szCs w:val="26"/>
          <w:lang w:val="vi-VN"/>
        </w:rPr>
        <w:t xml:space="preserve">Bên cạnh đó, các tổ chức tiêu chuẩn khác (như CEN) cũng ban hành các tiêu chuẩn nhất quán với các quy định, khuyến nghị được đưa ra trong ISO/IEC 30134 (như thể hiện trong Hình 2). Do đó, trong quá trình xây dựng và ban hành các tiêu chuẩn về KPI của trung tâm dữ liệu cần phải tham khảo bộ tiêu chuẩn ISO/IEC 30134. </w:t>
      </w:r>
    </w:p>
    <w:p w14:paraId="44AC3D08" w14:textId="1EAE275D" w:rsidR="006B429C" w:rsidRPr="00B515B7" w:rsidRDefault="006B429C" w:rsidP="006B429C">
      <w:pPr>
        <w:snapToGrid w:val="0"/>
        <w:spacing w:before="120" w:after="120" w:line="288" w:lineRule="auto"/>
        <w:jc w:val="both"/>
        <w:rPr>
          <w:rFonts w:ascii="Times New Roman" w:hAnsi="Times New Roman"/>
          <w:color w:val="000000"/>
          <w:sz w:val="26"/>
          <w:szCs w:val="26"/>
          <w:lang w:val="vi-VN"/>
        </w:rPr>
      </w:pPr>
      <w:r>
        <w:rPr>
          <w:rFonts w:ascii="Times New Roman" w:hAnsi="Times New Roman"/>
          <w:color w:val="000000"/>
          <w:sz w:val="26"/>
          <w:szCs w:val="26"/>
          <w:lang w:val="vi-VN"/>
        </w:rPr>
        <w:tab/>
      </w:r>
    </w:p>
    <w:p w14:paraId="46C5BB34" w14:textId="77777777" w:rsidR="00B515B7" w:rsidRPr="001E7D12" w:rsidRDefault="00B515B7" w:rsidP="001E7D12">
      <w:pPr>
        <w:snapToGrid w:val="0"/>
        <w:spacing w:before="120" w:after="120" w:line="288" w:lineRule="auto"/>
        <w:ind w:firstLine="709"/>
        <w:jc w:val="both"/>
        <w:rPr>
          <w:rFonts w:ascii="Times New Roman" w:hAnsi="Times New Roman"/>
          <w:color w:val="000000"/>
          <w:sz w:val="26"/>
          <w:szCs w:val="26"/>
          <w:lang w:val="vi-VN"/>
        </w:rPr>
      </w:pPr>
    </w:p>
    <w:p w14:paraId="610734B8" w14:textId="77777777" w:rsidR="001E7D12" w:rsidRPr="001E7D12" w:rsidRDefault="001E7D12" w:rsidP="001E7D12">
      <w:pPr>
        <w:spacing w:after="0" w:line="240" w:lineRule="auto"/>
        <w:rPr>
          <w:rFonts w:ascii="Times New Roman" w:hAnsi="Times New Roman"/>
          <w:sz w:val="24"/>
          <w:szCs w:val="24"/>
          <w:lang w:val="en-VN"/>
        </w:rPr>
      </w:pPr>
    </w:p>
    <w:p w14:paraId="7F45905A" w14:textId="77777777" w:rsidR="001E7D12" w:rsidRPr="00CB5FE8" w:rsidRDefault="001E7D12" w:rsidP="001E7D12">
      <w:pPr>
        <w:snapToGrid w:val="0"/>
        <w:spacing w:before="120" w:after="120" w:line="288" w:lineRule="auto"/>
        <w:jc w:val="both"/>
        <w:rPr>
          <w:rFonts w:ascii="Times New Roman" w:hAnsi="Times New Roman"/>
          <w:color w:val="000000"/>
          <w:sz w:val="26"/>
          <w:szCs w:val="26"/>
          <w:lang w:val="vi-VN"/>
        </w:rPr>
      </w:pPr>
    </w:p>
    <w:p w14:paraId="240291D7" w14:textId="77777777" w:rsidR="0087598F" w:rsidRDefault="0003620D" w:rsidP="0087598F">
      <w:pPr>
        <w:keepNext/>
        <w:jc w:val="center"/>
      </w:pPr>
      <w:r>
        <w:lastRenderedPageBreak/>
        <w:fldChar w:fldCharType="begin"/>
      </w:r>
      <w:r>
        <w:instrText xml:space="preserve"> INCLUDEPICTURE "https://www.techerati.com/wp-content/uploads/2021/09/EN50600-Picture-3.png" \* MERGEFORMATINET </w:instrText>
      </w:r>
      <w:r>
        <w:fldChar w:fldCharType="separate"/>
      </w:r>
      <w:r>
        <w:rPr>
          <w:noProof/>
        </w:rPr>
        <w:drawing>
          <wp:inline distT="0" distB="0" distL="0" distR="0" wp14:anchorId="77FA2410" wp14:editId="52466EB3">
            <wp:extent cx="5352176" cy="3525050"/>
            <wp:effectExtent l="0" t="0" r="0" b="5715"/>
            <wp:docPr id="1246149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040" cy="3540108"/>
                    </a:xfrm>
                    <a:prstGeom prst="rect">
                      <a:avLst/>
                    </a:prstGeom>
                    <a:noFill/>
                    <a:ln>
                      <a:noFill/>
                    </a:ln>
                  </pic:spPr>
                </pic:pic>
              </a:graphicData>
            </a:graphic>
          </wp:inline>
        </w:drawing>
      </w:r>
      <w:r>
        <w:fldChar w:fldCharType="end"/>
      </w:r>
    </w:p>
    <w:p w14:paraId="0E44944E" w14:textId="140E5C7F" w:rsidR="0003620D" w:rsidRPr="0087598F" w:rsidRDefault="0087598F" w:rsidP="0087598F">
      <w:pPr>
        <w:pStyle w:val="Caption"/>
        <w:jc w:val="center"/>
        <w:rPr>
          <w:rFonts w:ascii="Times New Roman" w:hAnsi="Times New Roman"/>
          <w:color w:val="000000" w:themeColor="text1"/>
          <w:sz w:val="26"/>
          <w:szCs w:val="26"/>
          <w:lang w:val="vi-VN"/>
        </w:rPr>
      </w:pPr>
      <w:r w:rsidRPr="0087598F">
        <w:rPr>
          <w:rFonts w:ascii="Times New Roman" w:hAnsi="Times New Roman"/>
          <w:color w:val="000000" w:themeColor="text1"/>
          <w:sz w:val="26"/>
          <w:szCs w:val="26"/>
          <w:lang w:val="vi-VN"/>
        </w:rPr>
        <w:t xml:space="preserve">Hình </w:t>
      </w:r>
      <w:r w:rsidRPr="0087598F">
        <w:rPr>
          <w:rFonts w:ascii="Times New Roman" w:hAnsi="Times New Roman"/>
          <w:color w:val="000000" w:themeColor="text1"/>
          <w:sz w:val="26"/>
          <w:szCs w:val="26"/>
          <w:lang w:val="vi-VN"/>
        </w:rPr>
        <w:fldChar w:fldCharType="begin"/>
      </w:r>
      <w:r w:rsidRPr="0087598F">
        <w:rPr>
          <w:rFonts w:ascii="Times New Roman" w:hAnsi="Times New Roman"/>
          <w:color w:val="000000" w:themeColor="text1"/>
          <w:sz w:val="26"/>
          <w:szCs w:val="26"/>
          <w:lang w:val="vi-VN"/>
        </w:rPr>
        <w:instrText xml:space="preserve"> SEQ Hình \* ARABIC </w:instrText>
      </w:r>
      <w:r w:rsidRPr="0087598F">
        <w:rPr>
          <w:rFonts w:ascii="Times New Roman" w:hAnsi="Times New Roman"/>
          <w:color w:val="000000" w:themeColor="text1"/>
          <w:sz w:val="26"/>
          <w:szCs w:val="26"/>
          <w:lang w:val="vi-VN"/>
        </w:rPr>
        <w:fldChar w:fldCharType="separate"/>
      </w:r>
      <w:r w:rsidR="006C7797">
        <w:rPr>
          <w:rFonts w:ascii="Times New Roman" w:hAnsi="Times New Roman"/>
          <w:noProof/>
          <w:color w:val="000000" w:themeColor="text1"/>
          <w:sz w:val="26"/>
          <w:szCs w:val="26"/>
          <w:lang w:val="vi-VN"/>
        </w:rPr>
        <w:t>2</w:t>
      </w:r>
      <w:r w:rsidRPr="0087598F">
        <w:rPr>
          <w:rFonts w:ascii="Times New Roman" w:hAnsi="Times New Roman"/>
          <w:color w:val="000000" w:themeColor="text1"/>
          <w:sz w:val="26"/>
          <w:szCs w:val="26"/>
          <w:lang w:val="vi-VN"/>
        </w:rPr>
        <w:fldChar w:fldCharType="end"/>
      </w:r>
      <w:r w:rsidRPr="0087598F">
        <w:rPr>
          <w:rFonts w:ascii="Times New Roman" w:hAnsi="Times New Roman"/>
          <w:color w:val="000000" w:themeColor="text1"/>
          <w:sz w:val="26"/>
          <w:szCs w:val="26"/>
          <w:lang w:val="vi-VN"/>
        </w:rPr>
        <w:t>: Mối liên quan đồng nhất giữa ISO/IEC 30134 và EN 50600-4</w:t>
      </w:r>
    </w:p>
    <w:p w14:paraId="1D88D679" w14:textId="31BD8966" w:rsidR="0087598F" w:rsidRPr="00C563BD" w:rsidRDefault="0087598F" w:rsidP="0087598F">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60" w:name="_Toc173371028"/>
      <w:r w:rsidRPr="00C563BD">
        <w:rPr>
          <w:rFonts w:ascii="Times New Roman" w:hAnsi="Times New Roman"/>
          <w:color w:val="000000"/>
          <w:sz w:val="26"/>
          <w:szCs w:val="26"/>
        </w:rPr>
        <w:t xml:space="preserve">Tình hình chuẩn hoá </w:t>
      </w:r>
      <w:r w:rsidR="00E0281E">
        <w:rPr>
          <w:rFonts w:ascii="Times New Roman" w:hAnsi="Times New Roman"/>
          <w:color w:val="000000"/>
          <w:sz w:val="26"/>
          <w:szCs w:val="26"/>
          <w:lang w:val="vi-VN"/>
        </w:rPr>
        <w:t>chỉ số hiệu suất sử dụng điện PUE của trung tâm dữ liệu</w:t>
      </w:r>
      <w:bookmarkEnd w:id="60"/>
    </w:p>
    <w:p w14:paraId="2A75C10E" w14:textId="205EC304" w:rsidR="00E0281E" w:rsidRDefault="00E0281E" w:rsidP="00E028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Qua phân tích trong mục 3 thấy rằng, các tổ chức tiêu chuẩn hoá ISO/IEC và CEN đã ban hành tiêu chuẩn riêng cho hiệu suất sử dụng điện của trung tâm dữ liệu, cụ thể như sau:</w:t>
      </w:r>
    </w:p>
    <w:p w14:paraId="0E18917E" w14:textId="796FCD72" w:rsidR="00E0281E" w:rsidRPr="00E0281E" w:rsidRDefault="00E0281E" w:rsidP="00E028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ISO/IEC 30134-2: </w:t>
      </w:r>
      <w:r w:rsidRPr="00C229A5">
        <w:rPr>
          <w:rFonts w:ascii="Times New Roman" w:hAnsi="Times New Roman"/>
          <w:sz w:val="26"/>
          <w:szCs w:val="26"/>
          <w:lang w:val="vi-VN"/>
        </w:rPr>
        <w:t>Information technology - Data centres - Key performance indicators - Part 2: Power Usage Effective (PUE)</w:t>
      </w:r>
      <w:r>
        <w:rPr>
          <w:rFonts w:ascii="Times New Roman" w:hAnsi="Times New Roman"/>
          <w:sz w:val="26"/>
          <w:szCs w:val="26"/>
          <w:lang w:val="vi-VN"/>
        </w:rPr>
        <w:t xml:space="preserve">. </w:t>
      </w:r>
      <w:r w:rsidRPr="00E0281E">
        <w:rPr>
          <w:rFonts w:ascii="Times New Roman" w:hAnsi="Times New Roman"/>
          <w:sz w:val="26"/>
          <w:szCs w:val="26"/>
        </w:rPr>
        <w:t xml:space="preserve">Tiêu chuẩn này quy định hiệu suất sử dụng điện (PUE) là một </w:t>
      </w:r>
      <w:r w:rsidR="00901B21">
        <w:rPr>
          <w:rFonts w:ascii="Times New Roman" w:hAnsi="Times New Roman"/>
          <w:sz w:val="26"/>
          <w:szCs w:val="26"/>
        </w:rPr>
        <w:t>chỉ số chất lượng</w:t>
      </w:r>
      <w:r w:rsidRPr="00E0281E">
        <w:rPr>
          <w:rFonts w:ascii="Times New Roman" w:hAnsi="Times New Roman"/>
          <w:sz w:val="26"/>
          <w:szCs w:val="26"/>
        </w:rPr>
        <w:t xml:space="preserve"> chính (KPI) nhằm định lượng tính hiệu quả việc sử dụng năng lượng dưới dạng điện.</w:t>
      </w:r>
      <w:r>
        <w:rPr>
          <w:rFonts w:ascii="Times New Roman" w:hAnsi="Times New Roman"/>
          <w:sz w:val="26"/>
          <w:szCs w:val="26"/>
          <w:lang w:val="vi-VN"/>
        </w:rPr>
        <w:t xml:space="preserve"> </w:t>
      </w:r>
      <w:r w:rsidRPr="00E0281E">
        <w:rPr>
          <w:rFonts w:ascii="Times New Roman" w:hAnsi="Times New Roman"/>
          <w:sz w:val="26"/>
          <w:szCs w:val="26"/>
        </w:rPr>
        <w:t>Tiêu chuẩn này:</w:t>
      </w:r>
    </w:p>
    <w:p w14:paraId="5F925667" w14:textId="77777777" w:rsidR="00E0281E" w:rsidRPr="00E0281E" w:rsidRDefault="00E0281E" w:rsidP="00E0281E">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E0281E">
        <w:rPr>
          <w:rFonts w:ascii="Times New Roman" w:hAnsi="Times New Roman"/>
          <w:sz w:val="26"/>
          <w:szCs w:val="26"/>
        </w:rPr>
        <w:t>định nghĩa hiệu suất sử dụng điện (PUE) của một trung tâm dữ liệu,</w:t>
      </w:r>
    </w:p>
    <w:p w14:paraId="0C09A023" w14:textId="77777777" w:rsidR="00E0281E" w:rsidRPr="00E0281E" w:rsidRDefault="00E0281E" w:rsidP="00E0281E">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E0281E">
        <w:rPr>
          <w:rFonts w:ascii="Times New Roman" w:hAnsi="Times New Roman"/>
          <w:sz w:val="26"/>
          <w:szCs w:val="26"/>
        </w:rPr>
        <w:t>giới thiệu các loại hình đo lường PUE,</w:t>
      </w:r>
    </w:p>
    <w:p w14:paraId="685115B6" w14:textId="77777777" w:rsidR="00E0281E" w:rsidRPr="00E0281E" w:rsidRDefault="00E0281E" w:rsidP="00E0281E">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E0281E">
        <w:rPr>
          <w:rFonts w:ascii="Times New Roman" w:hAnsi="Times New Roman"/>
          <w:sz w:val="26"/>
          <w:szCs w:val="26"/>
        </w:rPr>
        <w:t>mô tả mối quan hệ của KPI này với cơ sở hạ tầng, thiết bị công nghệ thông tin và hoạt động công nghệ thông tin của trung tâm dữ liệu,</w:t>
      </w:r>
    </w:p>
    <w:p w14:paraId="09BACD66" w14:textId="77777777" w:rsidR="00E0281E" w:rsidRPr="00E0281E" w:rsidRDefault="00E0281E" w:rsidP="00E0281E">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E0281E">
        <w:rPr>
          <w:rFonts w:ascii="Times New Roman" w:hAnsi="Times New Roman"/>
          <w:sz w:val="26"/>
          <w:szCs w:val="26"/>
        </w:rPr>
        <w:t>định nghĩa việc đo lường, tính toán và báo cáo thông số,</w:t>
      </w:r>
    </w:p>
    <w:p w14:paraId="5E667335" w14:textId="77777777" w:rsidR="00E0281E" w:rsidRPr="00E0281E" w:rsidRDefault="00E0281E" w:rsidP="00E0281E">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E0281E">
        <w:rPr>
          <w:rFonts w:ascii="Times New Roman" w:hAnsi="Times New Roman"/>
          <w:sz w:val="26"/>
          <w:szCs w:val="26"/>
        </w:rPr>
        <w:t>cung cấp thông tin về việc giải thích chính xác PUE.</w:t>
      </w:r>
    </w:p>
    <w:p w14:paraId="343B3609" w14:textId="42BE503B" w:rsidR="00E0281E" w:rsidRPr="00E0281E" w:rsidRDefault="00E0281E" w:rsidP="00A621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03620D">
        <w:rPr>
          <w:rFonts w:ascii="Times New Roman" w:hAnsi="Times New Roman"/>
          <w:sz w:val="26"/>
          <w:szCs w:val="26"/>
          <w:lang w:val="vi-VN"/>
        </w:rPr>
        <w:t>EN 50600-4-2</w:t>
      </w:r>
      <w:r>
        <w:rPr>
          <w:rFonts w:ascii="Times New Roman" w:hAnsi="Times New Roman"/>
          <w:sz w:val="26"/>
          <w:szCs w:val="26"/>
          <w:lang w:val="vi-VN"/>
        </w:rPr>
        <w:t xml:space="preserve">: </w:t>
      </w:r>
      <w:r w:rsidRPr="0003620D">
        <w:rPr>
          <w:rFonts w:ascii="Times New Roman" w:hAnsi="Times New Roman"/>
          <w:sz w:val="26"/>
          <w:szCs w:val="26"/>
          <w:lang w:val="vi-VN"/>
        </w:rPr>
        <w:t>Information technology - Data centre facilities and infrastructures - Part 4-2: Power Usage Effectiveness</w:t>
      </w:r>
      <w:r>
        <w:rPr>
          <w:rFonts w:ascii="Times New Roman" w:hAnsi="Times New Roman"/>
          <w:sz w:val="26"/>
          <w:szCs w:val="26"/>
          <w:lang w:val="vi-VN"/>
        </w:rPr>
        <w:t xml:space="preserve">. </w:t>
      </w:r>
      <w:r w:rsidRPr="00E0281E">
        <w:rPr>
          <w:rFonts w:ascii="Times New Roman" w:hAnsi="Times New Roman"/>
          <w:sz w:val="26"/>
          <w:szCs w:val="26"/>
        </w:rPr>
        <w:t xml:space="preserve">Tiêu chuẩn này quy định hiệu suất sử dụng điện (PUE) là một </w:t>
      </w:r>
      <w:r w:rsidR="00901B21">
        <w:rPr>
          <w:rFonts w:ascii="Times New Roman" w:hAnsi="Times New Roman"/>
          <w:sz w:val="26"/>
          <w:szCs w:val="26"/>
        </w:rPr>
        <w:t>chỉ số chất lượng</w:t>
      </w:r>
      <w:r w:rsidRPr="00E0281E">
        <w:rPr>
          <w:rFonts w:ascii="Times New Roman" w:hAnsi="Times New Roman"/>
          <w:sz w:val="26"/>
          <w:szCs w:val="26"/>
        </w:rPr>
        <w:t xml:space="preserve"> chính (KPI) nhằm định lượng tính hiệu quả việc sử dụng năng lượng dưới dạng điện.</w:t>
      </w:r>
      <w:r>
        <w:rPr>
          <w:rFonts w:ascii="Times New Roman" w:hAnsi="Times New Roman"/>
          <w:sz w:val="26"/>
          <w:szCs w:val="26"/>
          <w:lang w:val="vi-VN"/>
        </w:rPr>
        <w:t xml:space="preserve"> Tiêu chuẩn này hoàn toàn tương đương tiêu chuẩn ISO/IEC</w:t>
      </w:r>
      <w:r w:rsidR="00A6211E">
        <w:rPr>
          <w:rFonts w:ascii="Times New Roman" w:hAnsi="Times New Roman"/>
          <w:sz w:val="26"/>
          <w:szCs w:val="26"/>
          <w:lang w:val="vi-VN"/>
        </w:rPr>
        <w:t xml:space="preserve"> </w:t>
      </w:r>
      <w:r>
        <w:rPr>
          <w:rFonts w:ascii="Times New Roman" w:hAnsi="Times New Roman"/>
          <w:sz w:val="26"/>
          <w:szCs w:val="26"/>
          <w:lang w:val="vi-VN"/>
        </w:rPr>
        <w:t>30134</w:t>
      </w:r>
      <w:r w:rsidR="00A6211E">
        <w:rPr>
          <w:rFonts w:ascii="Times New Roman" w:hAnsi="Times New Roman"/>
          <w:sz w:val="26"/>
          <w:szCs w:val="26"/>
          <w:lang w:val="vi-VN"/>
        </w:rPr>
        <w:t>-2.</w:t>
      </w:r>
    </w:p>
    <w:p w14:paraId="0F3F28F8" w14:textId="0D670155" w:rsidR="00341B0B" w:rsidRDefault="00341B0B" w:rsidP="00341B0B">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61" w:name="_Toc173371029"/>
      <w:r w:rsidRPr="00C563BD">
        <w:rPr>
          <w:rFonts w:ascii="Times New Roman" w:hAnsi="Times New Roman"/>
          <w:color w:val="000000"/>
          <w:sz w:val="26"/>
          <w:szCs w:val="26"/>
        </w:rPr>
        <w:lastRenderedPageBreak/>
        <w:t xml:space="preserve">Tình hình chuẩn hoá </w:t>
      </w:r>
      <w:r w:rsidR="00A6211E">
        <w:rPr>
          <w:rFonts w:ascii="Times New Roman" w:hAnsi="Times New Roman"/>
          <w:color w:val="000000"/>
          <w:sz w:val="26"/>
          <w:szCs w:val="26"/>
          <w:lang w:val="vi-VN"/>
        </w:rPr>
        <w:t>chỉ số hiệu suất sử dụng điện PUE của trung tâm dữ liệu</w:t>
      </w:r>
      <w:r w:rsidR="00A6211E"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lang w:val="vi-VN"/>
        </w:rPr>
        <w:t>tại Việt Nam</w:t>
      </w:r>
      <w:bookmarkEnd w:id="61"/>
    </w:p>
    <w:p w14:paraId="0B7F21D0" w14:textId="77777777" w:rsidR="00A6211E" w:rsidRPr="00A6211E" w:rsidRDefault="00A6211E" w:rsidP="00A6211E">
      <w:pPr>
        <w:snapToGrid w:val="0"/>
        <w:spacing w:before="120" w:after="120" w:line="288" w:lineRule="auto"/>
        <w:ind w:firstLine="709"/>
        <w:jc w:val="both"/>
        <w:rPr>
          <w:rFonts w:ascii="Times New Roman" w:hAnsi="Times New Roman"/>
          <w:sz w:val="26"/>
          <w:szCs w:val="26"/>
          <w:lang w:val="vi-VN"/>
        </w:rPr>
      </w:pPr>
      <w:r w:rsidRPr="00A6211E">
        <w:rPr>
          <w:rFonts w:ascii="Times New Roman" w:hAnsi="Times New Roman"/>
          <w:sz w:val="26"/>
          <w:szCs w:val="26"/>
          <w:lang w:val="vi-VN"/>
        </w:rPr>
        <w:t xml:space="preserve">Bộ Thông tin và Truyền thông đã ban hành Thông tư số 23/2022/TT-BTTTT ngày 30 tháng 11 năm 2022 và Văn bản hợp nhất số 01/VBHN-BTTTT ngày 13 tháng 2 năm 2023. Theo đó, trung tâm dữ liệu phải áp dụng các tiêu chuẩn và quy chuẩn kỹ thuật sau: </w:t>
      </w:r>
    </w:p>
    <w:p w14:paraId="2740EC00" w14:textId="0DEF8DD2"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Tiêu chuẩn quốc gia TCVN 9250:2021 (hoặc tiêu chuẩn ANSI/TIA-942-B:2017), hoặc tiêu chuẩn Tier của Uptime Institute; </w:t>
      </w:r>
    </w:p>
    <w:p w14:paraId="00AA81C3" w14:textId="1CDDE0BB"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Quy chuẩn kỹ thuật quốc gia về chống sét cho các trạm viễn thông và mạng cáp ngoại vi viễn thông, ký hiệu QCVN 32:2020/BTTTT; </w:t>
      </w:r>
    </w:p>
    <w:p w14:paraId="2840CD70" w14:textId="1CA22671"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Quy chuẩn kỹ thuật quốc gia về tiếp đất cho các trạm viễn thông, ký hiệu QCVN 9:2016/BTTTT; </w:t>
      </w:r>
    </w:p>
    <w:p w14:paraId="591612FC" w14:textId="6648FCF9" w:rsid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Quy chuẩn kỹ thuật quốc gia về an toàn cháy cho nhà và công trình, ký hiệu QCVN 06:2021/BXD.</w:t>
      </w:r>
    </w:p>
    <w:p w14:paraId="251245D5" w14:textId="4A8AE917" w:rsid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Nội dung các tiêu chuẩn và quy chuẩn này cụ thể như sau:</w:t>
      </w:r>
    </w:p>
    <w:p w14:paraId="1232B60C" w14:textId="75166C19" w:rsidR="00442E79" w:rsidRPr="00442E79" w:rsidRDefault="00442E79" w:rsidP="00442E79">
      <w:pPr>
        <w:pStyle w:val="Caption"/>
        <w:rPr>
          <w:rFonts w:ascii="Times New Roman" w:hAnsi="Times New Roman"/>
          <w:color w:val="000000" w:themeColor="text1"/>
          <w:sz w:val="26"/>
          <w:szCs w:val="26"/>
          <w:lang w:val="vi-VN"/>
        </w:rPr>
      </w:pPr>
      <w:r w:rsidRPr="00442E79">
        <w:rPr>
          <w:rFonts w:ascii="Times New Roman" w:hAnsi="Times New Roman"/>
          <w:color w:val="000000" w:themeColor="text1"/>
          <w:sz w:val="26"/>
          <w:szCs w:val="26"/>
          <w:lang w:val="vi-VN"/>
        </w:rPr>
        <w:t xml:space="preserve">Bảng </w:t>
      </w:r>
      <w:r w:rsidRPr="00442E79">
        <w:rPr>
          <w:rFonts w:ascii="Times New Roman" w:hAnsi="Times New Roman"/>
          <w:color w:val="000000" w:themeColor="text1"/>
          <w:sz w:val="26"/>
          <w:szCs w:val="26"/>
          <w:lang w:val="vi-VN"/>
        </w:rPr>
        <w:fldChar w:fldCharType="begin"/>
      </w:r>
      <w:r w:rsidRPr="00442E79">
        <w:rPr>
          <w:rFonts w:ascii="Times New Roman" w:hAnsi="Times New Roman"/>
          <w:color w:val="000000" w:themeColor="text1"/>
          <w:sz w:val="26"/>
          <w:szCs w:val="26"/>
          <w:lang w:val="vi-VN"/>
        </w:rPr>
        <w:instrText xml:space="preserve"> SEQ Bảng \* ARABIC </w:instrText>
      </w:r>
      <w:r w:rsidRPr="00442E79">
        <w:rPr>
          <w:rFonts w:ascii="Times New Roman" w:hAnsi="Times New Roman"/>
          <w:color w:val="000000" w:themeColor="text1"/>
          <w:sz w:val="26"/>
          <w:szCs w:val="26"/>
          <w:lang w:val="vi-VN"/>
        </w:rPr>
        <w:fldChar w:fldCharType="separate"/>
      </w:r>
      <w:r w:rsidR="006C7797">
        <w:rPr>
          <w:rFonts w:ascii="Times New Roman" w:hAnsi="Times New Roman"/>
          <w:noProof/>
          <w:color w:val="000000" w:themeColor="text1"/>
          <w:sz w:val="26"/>
          <w:szCs w:val="26"/>
          <w:lang w:val="vi-VN"/>
        </w:rPr>
        <w:t>3</w:t>
      </w:r>
      <w:r w:rsidRPr="00442E79">
        <w:rPr>
          <w:rFonts w:ascii="Times New Roman" w:hAnsi="Times New Roman"/>
          <w:color w:val="000000" w:themeColor="text1"/>
          <w:sz w:val="26"/>
          <w:szCs w:val="26"/>
          <w:lang w:val="vi-VN"/>
        </w:rPr>
        <w:fldChar w:fldCharType="end"/>
      </w:r>
      <w:r w:rsidRPr="00442E79">
        <w:rPr>
          <w:rFonts w:ascii="Times New Roman" w:hAnsi="Times New Roman"/>
          <w:color w:val="000000" w:themeColor="text1"/>
          <w:sz w:val="26"/>
          <w:szCs w:val="26"/>
          <w:lang w:val="vi-VN"/>
        </w:rPr>
        <w:t>: Danh mục các tiêu chuẩn, quy chuẩn quốc gia áp dụng cho trung tâm dữ liệu</w:t>
      </w:r>
    </w:p>
    <w:tbl>
      <w:tblPr>
        <w:tblStyle w:val="TableGrid"/>
        <w:tblW w:w="9067" w:type="dxa"/>
        <w:tblLook w:val="04A0" w:firstRow="1" w:lastRow="0" w:firstColumn="1" w:lastColumn="0" w:noHBand="0" w:noVBand="1"/>
      </w:tblPr>
      <w:tblGrid>
        <w:gridCol w:w="2492"/>
        <w:gridCol w:w="2157"/>
        <w:gridCol w:w="4418"/>
      </w:tblGrid>
      <w:tr w:rsidR="00A6211E" w:rsidRPr="0003620D" w14:paraId="75D174AB" w14:textId="77777777" w:rsidTr="00442E79">
        <w:trPr>
          <w:tblHeader/>
        </w:trPr>
        <w:tc>
          <w:tcPr>
            <w:tcW w:w="2492" w:type="dxa"/>
          </w:tcPr>
          <w:p w14:paraId="6495AA72"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Số hiệu</w:t>
            </w:r>
          </w:p>
        </w:tc>
        <w:tc>
          <w:tcPr>
            <w:tcW w:w="2157" w:type="dxa"/>
          </w:tcPr>
          <w:p w14:paraId="5CB8C808"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Tên</w:t>
            </w:r>
          </w:p>
        </w:tc>
        <w:tc>
          <w:tcPr>
            <w:tcW w:w="4418" w:type="dxa"/>
          </w:tcPr>
          <w:p w14:paraId="37DEB4F9"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Phạm vi áp dụng</w:t>
            </w:r>
          </w:p>
        </w:tc>
      </w:tr>
      <w:tr w:rsidR="00A6211E" w:rsidRPr="0003620D" w14:paraId="573F90D4" w14:textId="77777777" w:rsidTr="00442E79">
        <w:tc>
          <w:tcPr>
            <w:tcW w:w="2492" w:type="dxa"/>
          </w:tcPr>
          <w:p w14:paraId="7F75B782" w14:textId="081AD726" w:rsidR="00A6211E" w:rsidRPr="0003620D"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TCVN 9250:2021</w:t>
            </w:r>
          </w:p>
        </w:tc>
        <w:tc>
          <w:tcPr>
            <w:tcW w:w="2157" w:type="dxa"/>
          </w:tcPr>
          <w:p w14:paraId="4B213DD0" w14:textId="3CA194F1" w:rsidR="00A6211E" w:rsidRPr="0003620D" w:rsidRDefault="006D6745" w:rsidP="006D6745">
            <w:pPr>
              <w:snapToGrid w:val="0"/>
              <w:spacing w:before="120" w:after="120"/>
              <w:jc w:val="both"/>
              <w:rPr>
                <w:rFonts w:ascii="Times New Roman" w:hAnsi="Times New Roman"/>
                <w:sz w:val="26"/>
                <w:szCs w:val="26"/>
                <w:lang w:val="vi-VN"/>
              </w:rPr>
            </w:pPr>
            <w:bookmarkStart w:id="62" w:name="loai_1_name_name"/>
            <w:r w:rsidRPr="006D6745">
              <w:rPr>
                <w:rFonts w:ascii="Times New Roman" w:hAnsi="Times New Roman"/>
                <w:sz w:val="26"/>
                <w:szCs w:val="26"/>
                <w:lang w:val="vi-VN"/>
              </w:rPr>
              <w:t xml:space="preserve">Trung tâm dữ liệu </w:t>
            </w:r>
            <w:r>
              <w:rPr>
                <w:rFonts w:ascii="Times New Roman" w:hAnsi="Times New Roman"/>
                <w:sz w:val="26"/>
                <w:szCs w:val="26"/>
                <w:lang w:val="vi-VN"/>
              </w:rPr>
              <w:t xml:space="preserve">- </w:t>
            </w:r>
            <w:r w:rsidRPr="006D6745">
              <w:rPr>
                <w:rFonts w:ascii="Times New Roman" w:hAnsi="Times New Roman"/>
                <w:sz w:val="26"/>
                <w:szCs w:val="26"/>
                <w:lang w:val="vi-VN"/>
              </w:rPr>
              <w:t>Yêu cầu hạ tầng kỹ thuật viễn thông</w:t>
            </w:r>
            <w:bookmarkEnd w:id="62"/>
          </w:p>
        </w:tc>
        <w:tc>
          <w:tcPr>
            <w:tcW w:w="4418" w:type="dxa"/>
          </w:tcPr>
          <w:p w14:paraId="77A38559" w14:textId="2CC358F7" w:rsidR="006D6745" w:rsidRPr="0003620D"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Tiêu chuẩn này quy định các yêu cầu tối thiểu về hạ tầng kỹ thuật viễn thông của các trung tâm dữ liệu và phòng máy tính, bao gồm cả các trung tâm dữ liệu doanh nghiệp thuê riêng và các trung tâm dữ liệu nhiều người thuê. Riêng đối với cấu trúc liên kết, tiêu chuẩn này áp dụng cho trung tâm dữ liệu có quy mô bất kỳ.</w:t>
            </w:r>
          </w:p>
        </w:tc>
      </w:tr>
      <w:tr w:rsidR="006D6745" w:rsidRPr="0003620D" w14:paraId="43A677C7" w14:textId="77777777" w:rsidTr="00442E79">
        <w:tc>
          <w:tcPr>
            <w:tcW w:w="2492" w:type="dxa"/>
          </w:tcPr>
          <w:p w14:paraId="42CD31EF" w14:textId="12AF12E8"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QCVN 32:2020/BTTTT</w:t>
            </w:r>
          </w:p>
        </w:tc>
        <w:tc>
          <w:tcPr>
            <w:tcW w:w="2157" w:type="dxa"/>
          </w:tcPr>
          <w:p w14:paraId="5501642E" w14:textId="09118B4C"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kỹ thuật quốc gia về chống sét cho các trạm viễn thông và mạng cáp ngoại vi viễn thông</w:t>
            </w:r>
          </w:p>
        </w:tc>
        <w:tc>
          <w:tcPr>
            <w:tcW w:w="4418" w:type="dxa"/>
          </w:tcPr>
          <w:p w14:paraId="00FF744E"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Quy chuẩn này được áp dụng cho các trạm viễn thông và mạng cáp ngoại vi viễn thông nhằm hạn chế các thiệt hại do sét gây ra, đảm bảo an toàn cho con người và khả năng cung cấp dịch vụ viễn thông và dịch vụ ứng dụng viễn thông. Trạm viễn thông trong quy chuẩn này bao gồm các công trình sau: </w:t>
            </w:r>
          </w:p>
          <w:p w14:paraId="7E9F8BDA"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Trung tâm chuyển mạch, truyền dẫn; </w:t>
            </w:r>
          </w:p>
          <w:p w14:paraId="2DAA6933"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Trung tâm dữ liệu; </w:t>
            </w:r>
          </w:p>
          <w:p w14:paraId="7C3C0E35"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lastRenderedPageBreak/>
              <w:t xml:space="preserve">- Trạm thu phát sóng vô tuyến điện cố định sử dụng trong nghiệp vụ vô tuyến điện cố định, thông tin di động, hàng không, hàng hải, dẫn đường, định vị, vệ tinh, phát chuẩn, nghiệp dư; </w:t>
            </w:r>
          </w:p>
          <w:p w14:paraId="5FAF7440"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Đài phát thanh, đài truyền hình. </w:t>
            </w:r>
          </w:p>
          <w:p w14:paraId="0003DB42"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kỹ thuật quốc gia này quy định: -</w:t>
            </w:r>
          </w:p>
          <w:p w14:paraId="0F1F4E8C"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Rủi ro thiệt hại cho phép do sét gây ra đối với trạm viễn thông và mạng cáp ngoại vi viễn thông; </w:t>
            </w:r>
          </w:p>
          <w:p w14:paraId="264CA238"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Phương pháp tính toán tần suất thiệt hại do sét gây ra đối với trạm viễn thông và mạng cáp ngoại vi viễn thông; </w:t>
            </w:r>
          </w:p>
          <w:p w14:paraId="316D280E" w14:textId="3F15117C" w:rsidR="006D6745" w:rsidRP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Các biện pháp chống sét bảo vệ trạm viễn thông và mạng cáp ngoại vi viễn thông.</w:t>
            </w:r>
          </w:p>
        </w:tc>
      </w:tr>
      <w:tr w:rsidR="006D6745" w:rsidRPr="0003620D" w14:paraId="59E6F8EE" w14:textId="77777777" w:rsidTr="00442E79">
        <w:tc>
          <w:tcPr>
            <w:tcW w:w="2492" w:type="dxa"/>
          </w:tcPr>
          <w:p w14:paraId="0A8B3CFB" w14:textId="673BFD95"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lastRenderedPageBreak/>
              <w:t>QCVN 9:2016/BTTTT</w:t>
            </w:r>
          </w:p>
        </w:tc>
        <w:tc>
          <w:tcPr>
            <w:tcW w:w="2157" w:type="dxa"/>
          </w:tcPr>
          <w:p w14:paraId="1AAF2760" w14:textId="58399A96" w:rsidR="006D6745" w:rsidRPr="006D6745"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Quy chuẩn kỹ thuật quốc gia về tiếp đất cho các trạm viễn thông</w:t>
            </w:r>
          </w:p>
        </w:tc>
        <w:tc>
          <w:tcPr>
            <w:tcW w:w="4418" w:type="dxa"/>
          </w:tcPr>
          <w:p w14:paraId="4C7A0905"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quy định các yêu cầu kỹ thuật về tiếp đất cho các trạm viễn thông bao gồm yêu cầu đối với hệ thống tiếp đất, mạng liên kết trong tòa nhà, mạng liên kết các thiết bị và kết nối hai mạng này với nhau.</w:t>
            </w:r>
          </w:p>
          <w:p w14:paraId="00B8F00B"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áp dụng cho các trạm viễn thông trong quá trình thiết kế, xây dựng, vận hành và bảo dưỡng.</w:t>
            </w:r>
          </w:p>
          <w:p w14:paraId="51DD86B3"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Trạm viễn thông trong quy chuẩn này bao gồm các công trình sau:</w:t>
            </w:r>
          </w:p>
          <w:p w14:paraId="3A855D6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Trung tâm chuyển mạch, truyền dẫn;</w:t>
            </w:r>
          </w:p>
          <w:p w14:paraId="295D8F64"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Trung tâm dữ liệu (datacenter);</w:t>
            </w:r>
          </w:p>
          <w:p w14:paraId="0552A7AE"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Trạm thu phát sóng vô tuyến điện cố định sử dụng trong nghiệp vụ vô tuyến điện cố định, thông tin di động, hàng không, hàng hải, dẫn đường, định vị, vệ tinh, phát chuẩn, nghiệp dư;</w:t>
            </w:r>
          </w:p>
          <w:p w14:paraId="4EF7621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lastRenderedPageBreak/>
              <w:t>- Đài phát thanh, đài truyền hình.</w:t>
            </w:r>
          </w:p>
          <w:p w14:paraId="4C865E93" w14:textId="580F41DD" w:rsidR="006D6745" w:rsidRP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không áp dụng cho nhà thuê bao.</w:t>
            </w:r>
          </w:p>
        </w:tc>
      </w:tr>
      <w:tr w:rsidR="006D6745" w:rsidRPr="0003620D" w14:paraId="0B5D5C5B" w14:textId="77777777" w:rsidTr="00442E79">
        <w:tc>
          <w:tcPr>
            <w:tcW w:w="2492" w:type="dxa"/>
          </w:tcPr>
          <w:p w14:paraId="072E7173" w14:textId="75C9EB47"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lastRenderedPageBreak/>
              <w:t>QCVN 06:2021/BXD</w:t>
            </w:r>
          </w:p>
        </w:tc>
        <w:tc>
          <w:tcPr>
            <w:tcW w:w="2157" w:type="dxa"/>
          </w:tcPr>
          <w:p w14:paraId="1BC30A58" w14:textId="0194912D"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Quy chuẩn kỹ thuật quốc gia về an toàn cháy cho nhà và công trình</w:t>
            </w:r>
          </w:p>
        </w:tc>
        <w:tc>
          <w:tcPr>
            <w:tcW w:w="4418" w:type="dxa"/>
          </w:tcPr>
          <w:p w14:paraId="35D24D19" w14:textId="77777777" w:rsid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quy định các yêu cầu chung về an toàn cháy cho gian phòng, nhà và các công trình xây dựng (sau đây gọi chung là nhà) và bắt buộc áp dụng trong tất cả các giai đoạn xây dựng mới, cải tạo, sửa chữa hay thay đổi công năng, đồng thời quy định phân loại kỹ thuật về cháy cho các nhà, phần và bộ phận của nhà, cho các gian phòng, cấu kiện xây dựng và vật liệu xây dựng.</w:t>
            </w:r>
          </w:p>
          <w:p w14:paraId="25A56E26" w14:textId="1A0D135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phần 3, 4, 5 và 6 của Quy chuẩn này không áp dụng cho các nhà có công năng đặc biệt (nhà sản xuất hay bảo quản các chất và vật liệu nổ; các kho chứa dầu mỏ và sản phẩm dầu mỏ, khí đốt tự nhiên, các loại khí dễ cháy, cũng như các chất tự cháy; nhà sản xuất hoặc kho hóa chất độc hại; công trình quốc phòng; phần ngầm của công trình tàu điện ngầm; công trình hầm mỏ; và các nhà có đặc điểm tương tự).</w:t>
            </w:r>
          </w:p>
          <w:p w14:paraId="567F6552" w14:textId="53C849FF"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Phần 5 của quy chuẩn này cũng không áp dụng cho các đối tượng sau: cơ sở, nhà và công trình bảo quản và chế biến ngũ cốc; trạm xăng; cơ sở năng lượng (nhà và công trình nhiệt điện, thủy điện, cơ sở lò hơi cung cấp nhiệt, nhà máy điện tuabin khí, diesel và hơi-khí, các cơ sở điện lưới).</w:t>
            </w:r>
          </w:p>
          <w:p w14:paraId="705ED97F" w14:textId="30DE371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Phần 5 của quy chuẩn này cũng không áp dụng đối với các hệ thống chữa cháy cho các đám cháy do các kim loại cũng như các chất và vật liệu hoạt động hóa học mạnh, khi phản ứng với nước sẽ gây nổ, tạo ra khí cháy, gây tỏa nhiệt mạnh, </w:t>
            </w:r>
            <w:r w:rsidRPr="006D6745">
              <w:rPr>
                <w:rFonts w:ascii="Times New Roman" w:hAnsi="Times New Roman"/>
                <w:sz w:val="26"/>
                <w:szCs w:val="26"/>
                <w:lang w:val="vi-VN"/>
              </w:rPr>
              <w:lastRenderedPageBreak/>
              <w:t>ví dụ như: các hợp chất nhôm - chất hữu cơ, các kim loại kiềm, các hợp chất lithium-chất hữu cơ, chì azua, các hydride nhôm, kẽm, magiê, axít sunfuric, titan clorua, nhiệt nhôm.</w:t>
            </w:r>
          </w:p>
          <w:p w14:paraId="01CACDC2" w14:textId="60FA98C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tiêu chuẩn và các yêu cầu về phòng cháy, chống cháy của các tài liệu chuẩn trong xây dựng phải dựa trên yêu cầu của Quy chuẩn này.</w:t>
            </w:r>
          </w:p>
          <w:p w14:paraId="5C443F40"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Cùng với việc áp dụng Quy chuẩn này, còn phải tuân theo các yêu cầu phòng cháy chữa cháy quy định cụ thể hơn trong các tài liệu chuẩn khác được quy định áp dụng cho từng đối tượng nhà và công trình. Khi chưa có các tài liệu chuẩn quy định cụ thể theo các yêu cầu của quy chuẩn này thì vẫn cho phép sử dụng các quy định cụ thể trong các tiêu chuẩn hiện hành cho đến khi các tiêu chuẩn đó được soát xét lại, cũng như cho phép sử dụng các tiêu chuẩn hiện hành của nước ngoài trên nguyên tắc đảm bảo yêu cầu của quy chuẩn này và các quy định pháp luật của Việt Nam về phòng cháy, chữa cháy cùng các quy định về áp dụng tiêu chuẩn của nước ngoài trong hoạt động xây dựng ở Việt Nam.</w:t>
            </w:r>
          </w:p>
          <w:p w14:paraId="413B67CC"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Trong các tài liệu chuẩn hiện hành có liên quan về phòng cháy, chống cháy cho nhà và công trình, khi có các quy định yêu cầu kỹ thuật cụ thể khác với yêu cầu của quy chuẩn này, thì áp dụng quy định của quy chuẩn này.</w:t>
            </w:r>
          </w:p>
          <w:p w14:paraId="2C407A8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tài liệu thiết kế và tài liệu kỹ thuật của nhà, kết cấu, cấu kiện và vật liệu xây dựng phải nêu rõ các đặc tính kỹ thuật về cháy của chúng theo quy định của quy chuẩn này.</w:t>
            </w:r>
          </w:p>
          <w:p w14:paraId="5870CF79" w14:textId="546E730C"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lastRenderedPageBreak/>
              <w:t>Khi thiết kế và xây dựng nhà và công trình, ngoài việc tuân thủ quy chuẩn này, còn phải tuân thủ các quy chuẩn và đảm bảo các yêu cầu kỹ thuật bắt buộc khác theo quy định của pháp luật hiện hành, như: quy hoạch, kiến trúc, kết cấu, hệ thống cấp thoát nước, hệ thống điện, thiết bị điện, chống sét, hệ thống cấp nhiên liệu, tiết kiệm năng lượng, hệ thống thông gió, điều hoà không khí, cơ khí, an toàn sử dụng kính, tránh rơi ngã, va đập.</w:t>
            </w:r>
          </w:p>
          <w:p w14:paraId="7AD439CF" w14:textId="52521BE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Nhà hoặc công trình xây dựng dùng cho việc sản xuất sản phẩm, hàng hóa thuộc nhóm F5.1 và F5.2 như quy định tại 2.6.5 (không bao gồm các bãi đỗ xe ô tô, xe máy xe đạp không có dịch vụ kỹ thuật và sửa chữa) có không quá 1 tầng hầm (còn gọi là Nhà công nghiệp), bên cạnh việc bảo đảm các quy định đã nêu trong quy chuẩn này còn phải tuân thủ các quy định bổ sung về an toàn cháy nêu tại A.1 của Phụ lục A.</w:t>
            </w:r>
          </w:p>
          <w:p w14:paraId="3ABAA6C5" w14:textId="1D8C767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nhà thuộc nhóm nguy hiểm cháy theo công năng F1.2, F4.3 và nhà hỗn hợp có chiều cao PCCC từ trên 50 m đến 150 m (có không quá 3 tầng hầm), các nhà thuộc nhóm nguy hiểm cháy theo công năng F1.3 có chiều cao PCCC từ trên 75 m đến 150 m (có không quá 3 tầng hầm) bên cạnh việc bảo đảm những quy định tại các Phần 2, 3, 4, 5, 6, 7, 8 và 9, còn phải tuân thủ các quy định bổ sung về an toàn cháy tương ứng nêu tại A.2 và A.3 của Phụ lục A.</w:t>
            </w:r>
          </w:p>
          <w:p w14:paraId="07DA7344" w14:textId="6DA61F53"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Đối với các nhà chưa có các tiêu chuẩn về phòng cháy, chống cháy cũng như các nhà thuộc nhóm nguy hiểm cháy theo công năng F1.2, F1.3, F4.3 và nhà hỗn </w:t>
            </w:r>
            <w:r w:rsidRPr="006D6745">
              <w:rPr>
                <w:rFonts w:ascii="Times New Roman" w:hAnsi="Times New Roman"/>
                <w:sz w:val="26"/>
                <w:szCs w:val="26"/>
                <w:lang w:val="vi-VN"/>
              </w:rPr>
              <w:lastRenderedPageBreak/>
              <w:t>hợp có chiều cao PCCC lớn hơn 150 m hoặc có từ 4 tầng hầm trở lên, các nhà đặc biệt phức tạp và khác thường; thì ngoài việc tuân thủ quy chuẩn này còn phải bổ sung các yêu cầu kỹ thuật và các giải pháp về tổ chức, về kỹ thuật công trình phù hợp với các đặc điểm riêng về phòng chống cháy của các nhà đó, trên cơ sở tài liệu chuẩn hiện hành được phép áp dụng. Các yêu cầu và giải pháp này phải được cơ quan Cảnh sát Phòng cháy chữa cháy và Cứu nạn cứu hộ (PCCC và CNCH) có thẩm quyền thẩm duyệt.</w:t>
            </w:r>
          </w:p>
          <w:p w14:paraId="6284AC60" w14:textId="2C13F719"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Trong một số trường hợp riêng biệt, Bộ Xây dựng chỉ cho phép thay thế một số yêu cầu của quy chuẩn này đối với công trình cụ thể khi có luận chứng gửi Bộ Xây dựng nêu rõ các giải pháp bổ sung, thay thế hoặc phải trình bày đủ các cơ sở tính toán để đảm bảo an toàn cháy cho công trình cụ thể này. Luận chứng này phải được thẩm duyệt bởi Cục Cảnh sát PCCC và CNCH trước khi gửi Bộ Xây dựng.</w:t>
            </w:r>
          </w:p>
          <w:p w14:paraId="16D5D351" w14:textId="130AA9E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Khi thay đổi công năng hoặc thay đổi các giải pháp bố trí mặt bằng - không gian và kết cấu của các nhà hiện hữu hoặc các gian phòng riêng của các nhà đó thì phải áp dụng quy chuẩn này và tài liệu chuẩn trong phạm vi những thay đổi đó.</w:t>
            </w:r>
          </w:p>
          <w:p w14:paraId="2418883E" w14:textId="442BC9C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Đối với nhà ở riêng lẻ cho hộ gia đình có chiều cao từ 6 tầng trở xuống hoặc có không quá 1 tầng hầm, không bắt buộc áp dụng quy chuẩn này mà thực hiện theo hướng dẫn riêng, phù hợp cho từng đối tượng nhà và khu dân cư.</w:t>
            </w:r>
          </w:p>
          <w:p w14:paraId="247082F9" w14:textId="4EE19C34"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Trường hợp chuyển đổi công năng sang các mục đích khác phải tuân thủ theo quy định của quy chuẩn này và phải được cơ </w:t>
            </w:r>
            <w:r w:rsidRPr="006D6745">
              <w:rPr>
                <w:rFonts w:ascii="Times New Roman" w:hAnsi="Times New Roman"/>
                <w:sz w:val="26"/>
                <w:szCs w:val="26"/>
                <w:lang w:val="vi-VN"/>
              </w:rPr>
              <w:lastRenderedPageBreak/>
              <w:t>quan Cảnh sát Phòng cháy chữa cháy và Cứu nạn cứu hộ có thẩm quyền thẩm duyệt như đối với các công trình thuộc diện phải thẩm duyệt thiết kế về phòng cháy chữa cháy.</w:t>
            </w:r>
          </w:p>
        </w:tc>
      </w:tr>
    </w:tbl>
    <w:p w14:paraId="3065864D" w14:textId="77777777" w:rsidR="00442E79" w:rsidRDefault="00442E79" w:rsidP="00442E79">
      <w:pPr>
        <w:snapToGrid w:val="0"/>
        <w:spacing w:before="120" w:after="120" w:line="288" w:lineRule="auto"/>
        <w:ind w:firstLine="709"/>
        <w:jc w:val="both"/>
        <w:rPr>
          <w:rFonts w:ascii="Times New Roman" w:hAnsi="Times New Roman"/>
          <w:color w:val="000000"/>
          <w:sz w:val="26"/>
          <w:szCs w:val="26"/>
          <w:lang w:val="vi-VN"/>
        </w:rPr>
      </w:pPr>
      <w:r w:rsidRPr="00442E79">
        <w:rPr>
          <w:rFonts w:ascii="Times New Roman" w:hAnsi="Times New Roman"/>
          <w:color w:val="000000"/>
          <w:sz w:val="26"/>
          <w:szCs w:val="26"/>
        </w:rPr>
        <w:lastRenderedPageBreak/>
        <w:t xml:space="preserve">Nhận xét: Hiện nay, các tiêu chuẩn và quy chuẩn tại Việt Nam đưa ra các quy định liên quan đến hạ tầng viễn thông của Trung tâm dữ liệu; Các tiêu chuẩn quy chuẩn này chưa đưa ra các quy định về các chỉ số chất lượng chính của Trung tâm dữ liệu trong quá trình vận hành, khai thác và sử dụng. Do đó cần xây dựng và ban hành các quy định liên quan đến vấn đề này đảm bảo đáp ứng yêu cầu về chất lượng đối với TTDL. </w:t>
      </w:r>
    </w:p>
    <w:p w14:paraId="06EBA2B4" w14:textId="433CC648" w:rsidR="00442E79" w:rsidRPr="00442E79" w:rsidRDefault="00442E79" w:rsidP="00442E79">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63" w:name="_Toc173371030"/>
      <w:r w:rsidRPr="00442E79">
        <w:rPr>
          <w:rFonts w:ascii="Times New Roman" w:hAnsi="Times New Roman"/>
          <w:color w:val="000000"/>
          <w:sz w:val="26"/>
          <w:szCs w:val="26"/>
        </w:rPr>
        <w:t xml:space="preserve">Xây dựng </w:t>
      </w:r>
      <w:bookmarkStart w:id="64" w:name="_Toc458630004"/>
      <w:bookmarkStart w:id="65" w:name="_Toc458723988"/>
      <w:bookmarkStart w:id="66" w:name="_Toc458808005"/>
      <w:bookmarkStart w:id="67" w:name="_Toc463326109"/>
      <w:bookmarkStart w:id="68" w:name="_Toc464687982"/>
      <w:bookmarkStart w:id="69" w:name="_Toc464688041"/>
      <w:bookmarkStart w:id="70" w:name="_Toc464688274"/>
      <w:bookmarkStart w:id="71" w:name="_Toc464688426"/>
      <w:bookmarkStart w:id="72" w:name="_Toc464688484"/>
      <w:bookmarkStart w:id="73" w:name="_Toc464688544"/>
      <w:bookmarkStart w:id="74" w:name="_Toc464705204"/>
      <w:bookmarkStart w:id="75" w:name="_Toc466038337"/>
      <w:bookmarkStart w:id="76" w:name="_Toc116446074"/>
      <w:bookmarkStart w:id="77" w:name="_Toc116484873"/>
      <w:bookmarkStart w:id="78" w:name="_Toc118533215"/>
      <w:bookmarkStart w:id="79" w:name="_Toc119025762"/>
      <w:bookmarkStart w:id="80" w:name="_Toc127633127"/>
      <w:bookmarkStart w:id="81" w:name="_Toc458630005"/>
      <w:bookmarkStart w:id="82" w:name="_Toc458723989"/>
      <w:bookmarkStart w:id="83" w:name="_Toc458808006"/>
      <w:bookmarkStart w:id="84" w:name="_Toc463326110"/>
      <w:bookmarkStart w:id="85" w:name="_Toc464687983"/>
      <w:bookmarkStart w:id="86" w:name="_Toc464688042"/>
      <w:bookmarkStart w:id="87" w:name="_Toc464688275"/>
      <w:bookmarkStart w:id="88" w:name="_Toc464688427"/>
      <w:bookmarkStart w:id="89" w:name="_Toc464688485"/>
      <w:bookmarkStart w:id="90" w:name="_Toc464688545"/>
      <w:bookmarkStart w:id="91" w:name="_Toc464705205"/>
      <w:bookmarkStart w:id="92" w:name="_Toc466038338"/>
      <w:bookmarkStart w:id="93" w:name="_Toc116446075"/>
      <w:bookmarkStart w:id="94" w:name="_Toc116484874"/>
      <w:bookmarkStart w:id="95" w:name="_Toc118533216"/>
      <w:bookmarkStart w:id="96" w:name="_Toc119025763"/>
      <w:bookmarkStart w:id="97" w:name="_Toc127633128"/>
      <w:bookmarkStart w:id="98" w:name="_Toc45804104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00E92BD4" w:rsidRPr="00C563BD">
        <w:rPr>
          <w:rFonts w:ascii="Times New Roman" w:hAnsi="Times New Roman"/>
          <w:color w:val="000000"/>
          <w:sz w:val="26"/>
          <w:szCs w:val="26"/>
        </w:rPr>
        <w:t>Tiêu</w:t>
      </w:r>
      <w:r w:rsidR="00E92BD4" w:rsidRPr="00C563BD">
        <w:rPr>
          <w:rFonts w:ascii="Times New Roman" w:hAnsi="Times New Roman"/>
          <w:color w:val="000000"/>
          <w:sz w:val="26"/>
          <w:szCs w:val="26"/>
          <w:lang w:val="vi-VN"/>
        </w:rPr>
        <w:t xml:space="preserve"> chuẩn</w:t>
      </w:r>
      <w:r w:rsidR="00E92BD4" w:rsidRPr="00C563BD">
        <w:rPr>
          <w:rFonts w:ascii="Times New Roman" w:hAnsi="Times New Roman"/>
          <w:color w:val="000000"/>
          <w:sz w:val="26"/>
          <w:szCs w:val="26"/>
        </w:rPr>
        <w:t xml:space="preserve"> quốc gia về công</w:t>
      </w:r>
      <w:r w:rsidR="00E92BD4" w:rsidRPr="00C563BD">
        <w:rPr>
          <w:rFonts w:ascii="Times New Roman" w:hAnsi="Times New Roman"/>
          <w:color w:val="000000"/>
          <w:sz w:val="26"/>
          <w:szCs w:val="26"/>
          <w:lang w:val="vi-VN"/>
        </w:rPr>
        <w:t xml:space="preserve"> nghệ thông tin – </w:t>
      </w:r>
      <w:r w:rsidR="00901B21">
        <w:rPr>
          <w:rFonts w:ascii="Times New Roman" w:hAnsi="Times New Roman"/>
          <w:color w:val="000000"/>
          <w:sz w:val="26"/>
          <w:szCs w:val="26"/>
          <w:lang w:val="vi-VN"/>
        </w:rPr>
        <w:t>Chỉ số chất lượng</w:t>
      </w:r>
      <w:r w:rsidR="00E92BD4">
        <w:rPr>
          <w:rFonts w:ascii="Times New Roman" w:hAnsi="Times New Roman"/>
          <w:color w:val="000000"/>
          <w:sz w:val="26"/>
          <w:szCs w:val="26"/>
          <w:lang w:val="vi-VN"/>
        </w:rPr>
        <w:t xml:space="preserve"> chính – Phần 2: Hiệu suất sử dụng điện (PUE)</w:t>
      </w:r>
      <w:bookmarkEnd w:id="63"/>
      <w:r w:rsidR="00E92BD4">
        <w:rPr>
          <w:rFonts w:ascii="Times New Roman" w:hAnsi="Times New Roman"/>
          <w:color w:val="000000"/>
          <w:sz w:val="26"/>
          <w:szCs w:val="26"/>
          <w:lang w:val="vi-VN"/>
        </w:rPr>
        <w:t xml:space="preserve"> </w:t>
      </w:r>
    </w:p>
    <w:p w14:paraId="18CD7EC7" w14:textId="77777777" w:rsidR="00442E79" w:rsidRPr="00C563BD" w:rsidRDefault="00442E79" w:rsidP="00442E79">
      <w:pPr>
        <w:pStyle w:val="Heading2"/>
        <w:numPr>
          <w:ilvl w:val="1"/>
          <w:numId w:val="15"/>
        </w:numPr>
        <w:tabs>
          <w:tab w:val="left" w:pos="567"/>
        </w:tabs>
        <w:snapToGrid w:val="0"/>
        <w:spacing w:before="120" w:after="120" w:line="264" w:lineRule="auto"/>
        <w:ind w:left="0" w:firstLine="0"/>
        <w:jc w:val="both"/>
        <w:rPr>
          <w:rFonts w:ascii="Times New Roman" w:hAnsi="Times New Roman"/>
          <w:color w:val="000000"/>
          <w:lang w:val="vi-VN"/>
        </w:rPr>
      </w:pPr>
      <w:bookmarkStart w:id="99" w:name="_Toc458630006"/>
      <w:bookmarkStart w:id="100" w:name="_Toc173371031"/>
      <w:r w:rsidRPr="00C563BD">
        <w:rPr>
          <w:rFonts w:ascii="Times New Roman" w:hAnsi="Times New Roman"/>
          <w:color w:val="000000"/>
          <w:lang w:val="vi-VN"/>
        </w:rPr>
        <w:t>Lựa chọn tài liệu tham khảo</w:t>
      </w:r>
      <w:bookmarkEnd w:id="98"/>
      <w:bookmarkEnd w:id="99"/>
      <w:bookmarkEnd w:id="100"/>
    </w:p>
    <w:p w14:paraId="182A88D0" w14:textId="3CE895D6" w:rsidR="00E92BD4" w:rsidRDefault="00E92BD4" w:rsidP="00442E79">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themeColor="text1"/>
          <w:sz w:val="26"/>
          <w:szCs w:val="26"/>
          <w:shd w:val="clear" w:color="auto" w:fill="FFFFFF"/>
          <w:lang w:val="vi-VN"/>
        </w:rPr>
        <w:t>V</w:t>
      </w:r>
      <w:r w:rsidRPr="00CC68B8">
        <w:rPr>
          <w:rFonts w:ascii="Times New Roman" w:hAnsi="Times New Roman"/>
          <w:color w:val="000000" w:themeColor="text1"/>
          <w:sz w:val="26"/>
          <w:szCs w:val="26"/>
          <w:shd w:val="clear" w:color="auto" w:fill="FFFFFF"/>
          <w:lang w:val="vi-VN"/>
        </w:rPr>
        <w:t xml:space="preserve">iệc xây dựng hệ thống văn bản quy phạm pháp luật và hành lang pháp lý liên quan đến </w:t>
      </w:r>
      <w:r>
        <w:rPr>
          <w:rFonts w:ascii="Times New Roman" w:hAnsi="Times New Roman"/>
          <w:color w:val="000000" w:themeColor="text1"/>
          <w:sz w:val="26"/>
          <w:szCs w:val="26"/>
          <w:shd w:val="clear" w:color="auto" w:fill="FFFFFF"/>
          <w:lang w:val="vi-VN"/>
        </w:rPr>
        <w:t xml:space="preserve">TTDL, đặc biệt, việc xây dựng và ban hành các tiêu chuân về các chỉ số chất lượng chính (KPI) liên quan đến hiệu suất sử dụng điện khuyến khích các đơn vị, doanh nghiệp tuân thủ các quy định trong việc thiết kế, vận hành, duy trì và khai thác các TTDL nhằm </w:t>
      </w:r>
      <w:r w:rsidRPr="00B07750">
        <w:rPr>
          <w:rFonts w:ascii="Times New Roman" w:hAnsi="Times New Roman"/>
          <w:color w:val="000000" w:themeColor="text1"/>
          <w:sz w:val="26"/>
          <w:szCs w:val="26"/>
          <w:shd w:val="clear" w:color="auto" w:fill="FFFFFF"/>
          <w:lang w:val="vi-VN"/>
        </w:rPr>
        <w:t>tăng trưởng kinh tế, nâng cao năng suất, chất lượng, hiệu quả và sức cạnh tranh của nền kinh tế</w:t>
      </w:r>
      <w:r>
        <w:rPr>
          <w:rFonts w:ascii="Times New Roman" w:hAnsi="Times New Roman"/>
          <w:color w:val="000000" w:themeColor="text1"/>
          <w:sz w:val="26"/>
          <w:szCs w:val="26"/>
          <w:shd w:val="clear" w:color="auto" w:fill="FFFFFF"/>
          <w:lang w:val="vi-VN"/>
        </w:rPr>
        <w:t>; giúp người dân được thụ hưởng các dịch vụ tốt nhất, giá thành rẻ nhất do TTDL đem lại vô cùng cần thiết</w:t>
      </w:r>
    </w:p>
    <w:p w14:paraId="7BB2AAFC" w14:textId="09442DE6"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rPr>
        <w:t>Để thực hiện việc xây dựng và ban hành các</w:t>
      </w:r>
      <w:r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rPr>
        <w:t>tiêu chuẩn về</w:t>
      </w:r>
      <w:r w:rsidRPr="00C563BD">
        <w:rPr>
          <w:rFonts w:ascii="Times New Roman" w:hAnsi="Times New Roman"/>
          <w:color w:val="000000"/>
          <w:sz w:val="26"/>
          <w:szCs w:val="26"/>
          <w:lang w:val="vi-VN"/>
        </w:rPr>
        <w:t xml:space="preserve"> </w:t>
      </w:r>
      <w:r w:rsidR="00E92BD4">
        <w:rPr>
          <w:rFonts w:ascii="Times New Roman" w:hAnsi="Times New Roman"/>
          <w:color w:val="000000"/>
          <w:sz w:val="26"/>
          <w:szCs w:val="26"/>
          <w:lang w:val="vi-VN"/>
        </w:rPr>
        <w:t>trung tâm dữ liệu</w:t>
      </w:r>
      <w:r w:rsidRPr="00C563BD">
        <w:rPr>
          <w:rFonts w:ascii="Times New Roman" w:hAnsi="Times New Roman"/>
          <w:color w:val="000000"/>
          <w:sz w:val="26"/>
          <w:szCs w:val="26"/>
        </w:rPr>
        <w:t xml:space="preserve"> tại Việt Nam</w:t>
      </w:r>
      <w:r w:rsidR="00E92BD4">
        <w:rPr>
          <w:rFonts w:ascii="Times New Roman" w:hAnsi="Times New Roman"/>
          <w:color w:val="000000"/>
          <w:sz w:val="26"/>
          <w:szCs w:val="26"/>
          <w:lang w:val="vi-VN"/>
        </w:rPr>
        <w:t>, cụ thể là tiêu chuẩn về hiệu suất sử dụng điện trong TTDL</w:t>
      </w:r>
      <w:r w:rsidRPr="00C563BD">
        <w:rPr>
          <w:rFonts w:ascii="Times New Roman" w:hAnsi="Times New Roman"/>
          <w:color w:val="000000"/>
          <w:sz w:val="26"/>
          <w:szCs w:val="26"/>
        </w:rPr>
        <w:t xml:space="preserve"> thì việc lựa chọn tài liệu tiêu chuẩn, làm cơ sở tham chiếu là hết sức quan trọng. Tài liệu được chọn không những cần đáp ứng được các tiêu chuẩn chung, mà còn phải phù hợp với các đặc thù của công nghệ, kỹ thuật và lộ trình chuẩn hóa tại Việt Nam.</w:t>
      </w:r>
    </w:p>
    <w:p w14:paraId="21CDCBEC" w14:textId="58C3CB17" w:rsidR="00442E79" w:rsidRDefault="00442E79" w:rsidP="00E92BD4">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Căn cứ vào tình hình xây dựng tiêu chuẩn </w:t>
      </w:r>
      <w:r w:rsidR="00E92BD4">
        <w:rPr>
          <w:rFonts w:ascii="Times New Roman" w:hAnsi="Times New Roman"/>
          <w:color w:val="000000"/>
          <w:sz w:val="26"/>
          <w:szCs w:val="26"/>
        </w:rPr>
        <w:t>cho</w:t>
      </w:r>
      <w:r w:rsidR="00E92BD4">
        <w:rPr>
          <w:rFonts w:ascii="Times New Roman" w:hAnsi="Times New Roman"/>
          <w:color w:val="000000"/>
          <w:sz w:val="26"/>
          <w:szCs w:val="26"/>
          <w:lang w:val="vi-VN"/>
        </w:rPr>
        <w:t xml:space="preserve"> TTDL</w:t>
      </w:r>
      <w:r w:rsidRPr="00C563BD">
        <w:rPr>
          <w:rFonts w:ascii="Times New Roman" w:hAnsi="Times New Roman"/>
          <w:color w:val="000000"/>
          <w:sz w:val="26"/>
          <w:szCs w:val="26"/>
        </w:rPr>
        <w:t xml:space="preserve"> tại</w:t>
      </w:r>
      <w:r w:rsidRPr="00C563BD">
        <w:rPr>
          <w:rFonts w:ascii="Times New Roman" w:hAnsi="Times New Roman"/>
          <w:color w:val="000000"/>
          <w:sz w:val="26"/>
          <w:szCs w:val="26"/>
          <w:lang w:val="vi-VN"/>
        </w:rPr>
        <w:t xml:space="preserve"> Việt Nam </w:t>
      </w:r>
      <w:r w:rsidRPr="00C563BD">
        <w:rPr>
          <w:rFonts w:ascii="Times New Roman" w:hAnsi="Times New Roman"/>
          <w:color w:val="000000"/>
          <w:sz w:val="26"/>
          <w:szCs w:val="26"/>
        </w:rPr>
        <w:t xml:space="preserve">và các tài liệu tiêu chuẩn của các tổ chức uy tín trên thế giới đã </w:t>
      </w:r>
      <w:r w:rsidR="00E92BD4">
        <w:rPr>
          <w:rFonts w:ascii="Times New Roman" w:hAnsi="Times New Roman"/>
          <w:color w:val="000000"/>
          <w:sz w:val="26"/>
          <w:szCs w:val="26"/>
        </w:rPr>
        <w:t>được</w:t>
      </w:r>
      <w:r w:rsidR="00E92BD4">
        <w:rPr>
          <w:rFonts w:ascii="Times New Roman" w:hAnsi="Times New Roman"/>
          <w:color w:val="000000"/>
          <w:sz w:val="26"/>
          <w:szCs w:val="26"/>
          <w:lang w:val="vi-VN"/>
        </w:rPr>
        <w:t xml:space="preserve"> </w:t>
      </w:r>
      <w:r w:rsidRPr="00C563BD">
        <w:rPr>
          <w:rFonts w:ascii="Times New Roman" w:hAnsi="Times New Roman"/>
          <w:color w:val="000000"/>
          <w:sz w:val="26"/>
          <w:szCs w:val="26"/>
        </w:rPr>
        <w:t>tổng hợp, phân tích và đánh giá</w:t>
      </w:r>
      <w:r w:rsidR="00E92BD4">
        <w:rPr>
          <w:rFonts w:ascii="Times New Roman" w:hAnsi="Times New Roman"/>
          <w:color w:val="000000"/>
          <w:sz w:val="26"/>
          <w:szCs w:val="26"/>
          <w:lang w:val="vi-VN"/>
        </w:rPr>
        <w:t xml:space="preserve"> ở trên, </w:t>
      </w:r>
      <w:r w:rsidRPr="00C563BD">
        <w:rPr>
          <w:rFonts w:ascii="Times New Roman" w:hAnsi="Times New Roman"/>
          <w:color w:val="000000"/>
          <w:sz w:val="26"/>
          <w:szCs w:val="26"/>
        </w:rPr>
        <w:t xml:space="preserve">nhóm thực hiện lựa chọn tài liệu tham khảo xây dựng dự thảo TCVN </w:t>
      </w:r>
      <w:r>
        <w:rPr>
          <w:rFonts w:ascii="Times New Roman" w:hAnsi="Times New Roman"/>
          <w:color w:val="000000"/>
          <w:sz w:val="26"/>
          <w:szCs w:val="26"/>
        </w:rPr>
        <w:t xml:space="preserve">ISO/IEC </w:t>
      </w:r>
      <w:r w:rsidR="00E92BD4">
        <w:rPr>
          <w:rFonts w:ascii="Times New Roman" w:hAnsi="Times New Roman"/>
          <w:color w:val="000000"/>
          <w:sz w:val="26"/>
          <w:szCs w:val="26"/>
          <w:lang w:val="vi-VN"/>
        </w:rPr>
        <w:t>30134-2:2024</w:t>
      </w:r>
      <w:r w:rsidRPr="00C563BD">
        <w:rPr>
          <w:rFonts w:ascii="Times New Roman" w:hAnsi="Times New Roman"/>
          <w:color w:val="000000"/>
          <w:sz w:val="26"/>
          <w:szCs w:val="26"/>
        </w:rPr>
        <w:t xml:space="preserve"> “Công nghệ thông tin - </w:t>
      </w:r>
      <w:r w:rsidR="00901B21">
        <w:rPr>
          <w:rFonts w:ascii="Times New Roman" w:hAnsi="Times New Roman"/>
          <w:color w:val="000000"/>
          <w:sz w:val="26"/>
          <w:szCs w:val="26"/>
          <w:lang w:val="vi-VN"/>
        </w:rPr>
        <w:t>Chỉ số chất lượng</w:t>
      </w:r>
      <w:r w:rsidR="00E92BD4">
        <w:rPr>
          <w:rFonts w:ascii="Times New Roman" w:hAnsi="Times New Roman"/>
          <w:color w:val="000000"/>
          <w:sz w:val="26"/>
          <w:szCs w:val="26"/>
          <w:lang w:val="vi-VN"/>
        </w:rPr>
        <w:t xml:space="preserve"> chính – Phần 2: Hiệu suất sử dụng điện (PUE)</w:t>
      </w:r>
      <w:r w:rsidRPr="00C563BD">
        <w:rPr>
          <w:rFonts w:ascii="Times New Roman" w:hAnsi="Times New Roman"/>
          <w:color w:val="000000"/>
          <w:sz w:val="26"/>
          <w:szCs w:val="26"/>
        </w:rPr>
        <w:t xml:space="preserve">” là </w:t>
      </w:r>
      <w:r w:rsidR="00834670">
        <w:rPr>
          <w:rFonts w:ascii="Times New Roman" w:hAnsi="Times New Roman"/>
          <w:color w:val="000000"/>
          <w:sz w:val="26"/>
          <w:szCs w:val="26"/>
        </w:rPr>
        <w:t>tiêu</w:t>
      </w:r>
      <w:r w:rsidR="00834670">
        <w:rPr>
          <w:rFonts w:ascii="Times New Roman" w:hAnsi="Times New Roman"/>
          <w:color w:val="000000"/>
          <w:sz w:val="26"/>
          <w:szCs w:val="26"/>
          <w:lang w:val="vi-VN"/>
        </w:rPr>
        <w:t xml:space="preserve"> chuẩn </w:t>
      </w:r>
      <w:r w:rsidRPr="00C563BD">
        <w:rPr>
          <w:rFonts w:ascii="Times New Roman" w:hAnsi="Times New Roman"/>
          <w:color w:val="000000"/>
          <w:sz w:val="26"/>
          <w:szCs w:val="26"/>
        </w:rPr>
        <w:t xml:space="preserve">ISO/IEC </w:t>
      </w:r>
      <w:r w:rsidR="00E92BD4">
        <w:rPr>
          <w:rFonts w:ascii="Times New Roman" w:hAnsi="Times New Roman"/>
          <w:color w:val="000000"/>
          <w:sz w:val="26"/>
          <w:szCs w:val="26"/>
          <w:lang w:val="vi-VN"/>
        </w:rPr>
        <w:t>30134-2:2016 “</w:t>
      </w:r>
      <w:r w:rsidR="00E92BD4" w:rsidRPr="00C229A5">
        <w:rPr>
          <w:rFonts w:ascii="Times New Roman" w:hAnsi="Times New Roman"/>
          <w:sz w:val="26"/>
          <w:szCs w:val="26"/>
          <w:lang w:val="vi-VN"/>
        </w:rPr>
        <w:t>Information technology - Data centres - Key performance indicators - Part 2: Power Usage Effective (PUE)</w:t>
      </w:r>
      <w:r w:rsidR="00E92BD4">
        <w:rPr>
          <w:rFonts w:ascii="Times New Roman" w:hAnsi="Times New Roman"/>
          <w:sz w:val="26"/>
          <w:szCs w:val="26"/>
          <w:lang w:val="vi-VN"/>
        </w:rPr>
        <w:t>”</w:t>
      </w:r>
      <w:r w:rsidR="00834670">
        <w:rPr>
          <w:rFonts w:ascii="Times New Roman" w:hAnsi="Times New Roman"/>
          <w:color w:val="000000"/>
          <w:sz w:val="26"/>
          <w:szCs w:val="26"/>
          <w:lang w:val="vi-VN"/>
        </w:rPr>
        <w:t xml:space="preserve"> do:</w:t>
      </w:r>
    </w:p>
    <w:p w14:paraId="274ABABE" w14:textId="240A983A" w:rsidR="00834670" w:rsidRPr="00834670" w:rsidRDefault="00834670" w:rsidP="00834670">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 xml:space="preserve">Đáp ứng </w:t>
      </w:r>
      <w:r>
        <w:rPr>
          <w:rFonts w:ascii="Times New Roman" w:hAnsi="Times New Roman"/>
          <w:color w:val="000000"/>
          <w:sz w:val="26"/>
          <w:szCs w:val="26"/>
        </w:rPr>
        <w:t>quy</w:t>
      </w:r>
      <w:r>
        <w:rPr>
          <w:rFonts w:ascii="Times New Roman" w:hAnsi="Times New Roman"/>
          <w:color w:val="000000"/>
          <w:sz w:val="26"/>
          <w:szCs w:val="26"/>
          <w:lang w:val="vi-VN"/>
        </w:rPr>
        <w:t xml:space="preserve"> định về hiệu suất sử dụng điện PUE;</w:t>
      </w:r>
    </w:p>
    <w:p w14:paraId="57B5CA7F" w14:textId="24C74085"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Tài liệu được các tổ chức tiêu chuẩn quốc tế, khu vực ban hành</w:t>
      </w:r>
      <w:r>
        <w:rPr>
          <w:rFonts w:ascii="Times New Roman" w:hAnsi="Times New Roman"/>
          <w:color w:val="000000"/>
          <w:sz w:val="26"/>
          <w:szCs w:val="26"/>
          <w:lang w:val="vi-VN"/>
        </w:rPr>
        <w:t xml:space="preserve"> và áp dụng</w:t>
      </w:r>
      <w:r w:rsidRPr="00834670">
        <w:rPr>
          <w:rFonts w:ascii="Times New Roman" w:hAnsi="Times New Roman"/>
          <w:color w:val="000000"/>
          <w:sz w:val="26"/>
          <w:szCs w:val="26"/>
        </w:rPr>
        <w:t>;</w:t>
      </w:r>
    </w:p>
    <w:p w14:paraId="74264971" w14:textId="48A1948D"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Có nội dung đầy đủ và cập nhật mới nhất;</w:t>
      </w:r>
    </w:p>
    <w:p w14:paraId="7BDC760C" w14:textId="3EA53C2A"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lastRenderedPageBreak/>
        <w:t xml:space="preserve">- </w:t>
      </w:r>
      <w:r w:rsidRPr="00834670">
        <w:rPr>
          <w:rFonts w:ascii="Times New Roman" w:hAnsi="Times New Roman"/>
          <w:color w:val="000000"/>
          <w:sz w:val="26"/>
          <w:szCs w:val="26"/>
        </w:rPr>
        <w:t>Có cấu trúc tiêu chuẩn khoa học, thuận tiện cho việc cập nhật tiêu chuẩn, dễ sử dụng, tránh trùng lặp, hội nhập quốc tế;</w:t>
      </w:r>
    </w:p>
    <w:p w14:paraId="28D6392B" w14:textId="737734DA" w:rsidR="00834670" w:rsidRPr="00834670" w:rsidRDefault="00834670" w:rsidP="00834670">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Phù hợp với điều kiện Việt Nam.</w:t>
      </w:r>
    </w:p>
    <w:p w14:paraId="6F14F3E0"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01" w:name="_Toc61361738"/>
      <w:bookmarkStart w:id="102" w:name="_Toc61361764"/>
      <w:bookmarkStart w:id="103" w:name="_Toc100108526"/>
      <w:bookmarkStart w:id="104" w:name="_Toc173371032"/>
      <w:bookmarkStart w:id="105" w:name="_Toc458041046"/>
      <w:bookmarkStart w:id="106" w:name="_Toc458630008"/>
      <w:r w:rsidRPr="00C563BD">
        <w:rPr>
          <w:rFonts w:ascii="Times New Roman" w:hAnsi="Times New Roman"/>
          <w:color w:val="000000"/>
        </w:rPr>
        <w:t>Cách thức xây dựng</w:t>
      </w:r>
      <w:bookmarkEnd w:id="101"/>
      <w:bookmarkEnd w:id="102"/>
      <w:bookmarkEnd w:id="103"/>
      <w:bookmarkEnd w:id="104"/>
    </w:p>
    <w:p w14:paraId="11DCBBBC"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highlight w:val="white"/>
        </w:rPr>
        <w:tab/>
      </w:r>
      <w:r w:rsidRPr="00C563BD">
        <w:rPr>
          <w:rFonts w:ascii="Times New Roman" w:hAnsi="Times New Roman"/>
          <w:color w:val="000000"/>
          <w:sz w:val="26"/>
          <w:szCs w:val="26"/>
        </w:rPr>
        <w:t>Cách thức xây dựng dự thảo tiêu</w:t>
      </w:r>
      <w:r w:rsidRPr="00C563BD">
        <w:rPr>
          <w:rFonts w:ascii="Times New Roman" w:hAnsi="Times New Roman"/>
          <w:color w:val="000000"/>
          <w:sz w:val="26"/>
          <w:szCs w:val="26"/>
          <w:lang w:val="vi-VN"/>
        </w:rPr>
        <w:t xml:space="preserve"> chuẩn</w:t>
      </w:r>
      <w:r w:rsidRPr="00C563BD">
        <w:rPr>
          <w:rFonts w:ascii="Times New Roman" w:hAnsi="Times New Roman"/>
          <w:color w:val="000000"/>
          <w:sz w:val="26"/>
          <w:szCs w:val="26"/>
        </w:rPr>
        <w:t xml:space="preserve"> tuân thủ các quy định tại Thông tư số 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bao gồm các nội dung: </w:t>
      </w:r>
    </w:p>
    <w:p w14:paraId="5C1AC93A"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nghiên cứu, xây dựng dự thảo tiêu</w:t>
      </w:r>
      <w:r w:rsidRPr="00C563BD">
        <w:rPr>
          <w:rFonts w:ascii="Times New Roman" w:hAnsi="Times New Roman"/>
          <w:sz w:val="26"/>
          <w:szCs w:val="26"/>
          <w:lang w:val="vi-VN"/>
        </w:rPr>
        <w:t xml:space="preserve"> chuẩn</w:t>
      </w:r>
      <w:r w:rsidRPr="00C563BD">
        <w:rPr>
          <w:rFonts w:ascii="Times New Roman" w:hAnsi="Times New Roman"/>
          <w:sz w:val="26"/>
          <w:szCs w:val="26"/>
          <w:lang w:val="pt-BR"/>
        </w:rPr>
        <w:t>;</w:t>
      </w:r>
    </w:p>
    <w:p w14:paraId="0AA69D2D"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các hội nghị, hội thảo, lấy ý kiến của chuyên gia và các tổ chức, cá nhân có liên quan;</w:t>
      </w:r>
    </w:p>
    <w:p w14:paraId="34E8786D"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Lấy ý kiến góp ý của các cơ quan, tổ chức, cá nhân có liên quan và lấy ý kiến trên cổng thông tin điện tử của Chính phủ, của Bộ Thông tin và Truyền thông;</w:t>
      </w:r>
    </w:p>
    <w:p w14:paraId="5560C676"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thẩm tra và thực hiện các thủ tục ban hành quy chuẩn.</w:t>
      </w:r>
    </w:p>
    <w:p w14:paraId="7CAA870A"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07" w:name="_Toc61361739"/>
      <w:bookmarkStart w:id="108" w:name="_Toc61361765"/>
      <w:bookmarkStart w:id="109" w:name="_Toc100108527"/>
      <w:bookmarkStart w:id="110" w:name="_Toc173371033"/>
      <w:r w:rsidRPr="00C563BD">
        <w:rPr>
          <w:rFonts w:ascii="Times New Roman" w:hAnsi="Times New Roman"/>
          <w:color w:val="000000"/>
        </w:rPr>
        <w:t>Về hình thức trình bày</w:t>
      </w:r>
      <w:bookmarkEnd w:id="107"/>
      <w:bookmarkEnd w:id="108"/>
      <w:bookmarkEnd w:id="109"/>
      <w:bookmarkEnd w:id="110"/>
    </w:p>
    <w:p w14:paraId="350B733C"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rPr>
        <w:t>Dự thảo TCVN được trình bày theo đúng hướng dẫn về việc trình bày và thể hiện nội dung quy chuẩn quy định tại Phụ lục số V ban hành kèm theo Thông tư số 13/2019/TT-BTTTT ngày 22 tháng 11 năm 2019 của Bộ Thông tin và Truyền thông.</w:t>
      </w:r>
    </w:p>
    <w:p w14:paraId="13508E28"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1" w:name="_Toc61361740"/>
      <w:bookmarkStart w:id="112" w:name="_Toc61361766"/>
      <w:bookmarkStart w:id="113" w:name="_Toc100108528"/>
      <w:bookmarkStart w:id="114" w:name="_Toc173371034"/>
      <w:r w:rsidRPr="00C563BD">
        <w:rPr>
          <w:rFonts w:ascii="Times New Roman" w:hAnsi="Times New Roman"/>
          <w:color w:val="000000"/>
        </w:rPr>
        <w:t>Tên dự thảo</w:t>
      </w:r>
      <w:r w:rsidRPr="00C563BD">
        <w:rPr>
          <w:rFonts w:ascii="Times New Roman" w:hAnsi="Times New Roman"/>
          <w:color w:val="000000"/>
          <w:lang w:val="vi-VN"/>
        </w:rPr>
        <w:t xml:space="preserve"> tiêu</w:t>
      </w:r>
      <w:r w:rsidRPr="00C563BD">
        <w:rPr>
          <w:rFonts w:ascii="Times New Roman" w:hAnsi="Times New Roman"/>
          <w:color w:val="000000"/>
        </w:rPr>
        <w:t xml:space="preserve"> chuẩn</w:t>
      </w:r>
      <w:bookmarkEnd w:id="111"/>
      <w:bookmarkEnd w:id="112"/>
      <w:bookmarkEnd w:id="113"/>
      <w:bookmarkEnd w:id="114"/>
    </w:p>
    <w:bookmarkEnd w:id="105"/>
    <w:bookmarkEnd w:id="106"/>
    <w:p w14:paraId="146A4157" w14:textId="11C40D9A" w:rsidR="00442E79" w:rsidRPr="00C563BD" w:rsidRDefault="00442E79" w:rsidP="00442E79">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Theo đề cương khoa học công nghệ đã đăng ký, nhiệm vụ nhằm mục đích </w:t>
      </w:r>
      <w:r w:rsidR="00834670">
        <w:rPr>
          <w:rFonts w:ascii="Times New Roman" w:hAnsi="Times New Roman"/>
          <w:color w:val="000000" w:themeColor="text1"/>
          <w:sz w:val="26"/>
          <w:szCs w:val="26"/>
        </w:rPr>
        <w:t>h</w:t>
      </w:r>
      <w:r w:rsidR="00834670" w:rsidRPr="00810C1C">
        <w:rPr>
          <w:rFonts w:ascii="Times New Roman" w:hAnsi="Times New Roman"/>
          <w:color w:val="000000" w:themeColor="text1"/>
          <w:sz w:val="26"/>
          <w:szCs w:val="26"/>
        </w:rPr>
        <w:t>oàn thiện hệ thống tiêu chuẩn quốc gia trong lĩnh vực thông tin và truyền thông. Cơ sở áp dụng các giải pháp về tiêu chuẩn, quy chuẩn kỹ thuật, hệ thống quản lý, công cụ cải tiến năng suất chất lượng, góp phần nâng cao tỷ trọng đóng góp của năng suất các nhân tố tổng hợp (TFP) vào tăng trưởng kinh tế, nâng cao năng suất chất lượng, hiệu quả, sức cạnh tranh của nền kinh tế.</w:t>
      </w:r>
      <w:r w:rsidR="00834670">
        <w:rPr>
          <w:rFonts w:ascii="Times New Roman" w:hAnsi="Times New Roman"/>
          <w:color w:val="000000"/>
          <w:sz w:val="26"/>
          <w:szCs w:val="26"/>
          <w:lang w:val="vi-VN"/>
        </w:rPr>
        <w:t xml:space="preserve"> B</w:t>
      </w:r>
      <w:r w:rsidRPr="00C563BD">
        <w:rPr>
          <w:rFonts w:ascii="Times New Roman" w:hAnsi="Times New Roman"/>
          <w:color w:val="000000"/>
          <w:sz w:val="26"/>
          <w:szCs w:val="26"/>
        </w:rPr>
        <w:t>ên</w:t>
      </w:r>
      <w:r w:rsidRPr="00C563BD">
        <w:rPr>
          <w:rFonts w:ascii="Times New Roman" w:hAnsi="Times New Roman"/>
          <w:color w:val="000000"/>
          <w:sz w:val="26"/>
          <w:szCs w:val="26"/>
          <w:lang w:val="vi-VN"/>
        </w:rPr>
        <w:t xml:space="preserve"> cạnh đó</w:t>
      </w:r>
      <w:r w:rsidRPr="00C563BD">
        <w:rPr>
          <w:rFonts w:ascii="Times New Roman" w:hAnsi="Times New Roman"/>
          <w:color w:val="000000"/>
          <w:sz w:val="26"/>
          <w:szCs w:val="26"/>
        </w:rPr>
        <w:t>, tên dự thảo tiêu</w:t>
      </w:r>
      <w:r w:rsidRPr="00C563BD">
        <w:rPr>
          <w:rFonts w:ascii="Times New Roman" w:hAnsi="Times New Roman"/>
          <w:color w:val="000000"/>
          <w:sz w:val="26"/>
          <w:szCs w:val="26"/>
          <w:lang w:val="vi-VN"/>
        </w:rPr>
        <w:t xml:space="preserve"> chuẩn quốc gia</w:t>
      </w:r>
      <w:r w:rsidRPr="00C563BD">
        <w:rPr>
          <w:rFonts w:ascii="Times New Roman" w:hAnsi="Times New Roman"/>
          <w:color w:val="000000"/>
          <w:sz w:val="26"/>
          <w:szCs w:val="26"/>
        </w:rPr>
        <w:t xml:space="preserve"> phải</w:t>
      </w:r>
      <w:r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rPr>
        <w:t>ngắn gọn mà đủ ý, nhóm thực hiện nhiệm</w:t>
      </w:r>
      <w:r w:rsidRPr="00C563BD">
        <w:rPr>
          <w:rFonts w:ascii="Times New Roman" w:hAnsi="Times New Roman"/>
          <w:color w:val="000000"/>
          <w:sz w:val="26"/>
          <w:szCs w:val="26"/>
          <w:lang w:val="vi-VN"/>
        </w:rPr>
        <w:t xml:space="preserve"> vụ</w:t>
      </w:r>
      <w:r w:rsidRPr="00C563BD">
        <w:rPr>
          <w:rFonts w:ascii="Times New Roman" w:hAnsi="Times New Roman"/>
          <w:color w:val="000000"/>
          <w:sz w:val="26"/>
          <w:szCs w:val="26"/>
        </w:rPr>
        <w:t xml:space="preserve"> đề xuất tên dự</w:t>
      </w:r>
      <w:r w:rsidRPr="00C563BD">
        <w:rPr>
          <w:rFonts w:ascii="Times New Roman" w:hAnsi="Times New Roman"/>
          <w:color w:val="000000"/>
          <w:sz w:val="26"/>
          <w:szCs w:val="26"/>
          <w:lang w:val="vi-VN"/>
        </w:rPr>
        <w:t xml:space="preserve"> thảo TCVN</w:t>
      </w:r>
      <w:r w:rsidRPr="00C563BD">
        <w:rPr>
          <w:rFonts w:ascii="Times New Roman" w:hAnsi="Times New Roman"/>
          <w:color w:val="000000"/>
          <w:sz w:val="26"/>
          <w:szCs w:val="26"/>
        </w:rPr>
        <w:t xml:space="preserve"> là</w:t>
      </w:r>
      <w:r w:rsidRPr="00C563BD">
        <w:rPr>
          <w:rFonts w:ascii="Times New Roman" w:hAnsi="Times New Roman"/>
          <w:color w:val="000000"/>
          <w:sz w:val="26"/>
          <w:szCs w:val="26"/>
          <w:lang w:val="vi-VN"/>
        </w:rPr>
        <w:t xml:space="preserve"> “</w:t>
      </w:r>
      <w:r w:rsidR="00834670" w:rsidRPr="00C563BD">
        <w:rPr>
          <w:rFonts w:ascii="Times New Roman" w:hAnsi="Times New Roman"/>
          <w:color w:val="000000"/>
          <w:sz w:val="26"/>
          <w:szCs w:val="26"/>
        </w:rPr>
        <w:t xml:space="preserve">Công nghệ thông tin - </w:t>
      </w:r>
      <w:r w:rsidR="00901B21">
        <w:rPr>
          <w:rFonts w:ascii="Times New Roman" w:hAnsi="Times New Roman"/>
          <w:color w:val="000000"/>
          <w:sz w:val="26"/>
          <w:szCs w:val="26"/>
          <w:lang w:val="vi-VN"/>
        </w:rPr>
        <w:t>Chỉ số chất lượng</w:t>
      </w:r>
      <w:r w:rsidR="00834670">
        <w:rPr>
          <w:rFonts w:ascii="Times New Roman" w:hAnsi="Times New Roman"/>
          <w:color w:val="000000"/>
          <w:sz w:val="26"/>
          <w:szCs w:val="26"/>
          <w:lang w:val="vi-VN"/>
        </w:rPr>
        <w:t xml:space="preserve"> chính – Phần 2: Hiệu suất sử dụng điện (PUE)</w:t>
      </w:r>
      <w:r w:rsidRPr="00C563BD">
        <w:rPr>
          <w:rFonts w:ascii="Times New Roman" w:hAnsi="Times New Roman"/>
          <w:color w:val="000000"/>
          <w:sz w:val="26"/>
          <w:szCs w:val="26"/>
          <w:lang w:val="vi-VN"/>
        </w:rPr>
        <w:t>”.</w:t>
      </w:r>
    </w:p>
    <w:p w14:paraId="4B5971E8"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5" w:name="_Toc458041047"/>
      <w:bookmarkStart w:id="116" w:name="_Toc458630009"/>
      <w:bookmarkStart w:id="117" w:name="_Toc173371035"/>
      <w:r w:rsidRPr="00C563BD">
        <w:rPr>
          <w:rFonts w:ascii="Times New Roman" w:hAnsi="Times New Roman"/>
          <w:color w:val="000000"/>
        </w:rPr>
        <w:t xml:space="preserve">Nội dung dự thảo </w:t>
      </w:r>
      <w:bookmarkEnd w:id="115"/>
      <w:bookmarkEnd w:id="116"/>
      <w:r w:rsidRPr="00C563BD">
        <w:rPr>
          <w:rFonts w:ascii="Times New Roman" w:hAnsi="Times New Roman"/>
          <w:color w:val="000000"/>
          <w:lang w:val="vi-VN"/>
        </w:rPr>
        <w:t>tiêu chuẩn</w:t>
      </w:r>
      <w:bookmarkEnd w:id="117"/>
    </w:p>
    <w:p w14:paraId="4173C02D"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bookmarkStart w:id="118" w:name="_Toc362266673"/>
      <w:r w:rsidRPr="00C563BD">
        <w:rPr>
          <w:rFonts w:ascii="Times New Roman" w:hAnsi="Times New Roman"/>
          <w:color w:val="000000"/>
          <w:sz w:val="26"/>
          <w:szCs w:val="26"/>
        </w:rPr>
        <w:t>Bố cục dự thảo TCVN được xây dựng trên cơ sở tham khảo bố cục các TCVN về công nghệ thông tin được Bộ Thông tin và Truyền thông ban hành.</w:t>
      </w:r>
    </w:p>
    <w:p w14:paraId="65A12036" w14:textId="2114A668" w:rsidR="00442E79" w:rsidRDefault="00442E79" w:rsidP="00834670">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Nội dung của dự thảo tiêu chuẩn được biên soạn hoàn toàn tương đương với tài liệu ISO/IEC </w:t>
      </w:r>
      <w:r w:rsidR="00834670">
        <w:rPr>
          <w:rFonts w:ascii="Times New Roman" w:hAnsi="Times New Roman"/>
          <w:color w:val="000000"/>
          <w:sz w:val="26"/>
          <w:szCs w:val="26"/>
          <w:lang w:val="vi-VN"/>
        </w:rPr>
        <w:t>30134-2:2016</w:t>
      </w:r>
      <w:r w:rsidRPr="00C563BD">
        <w:rPr>
          <w:rFonts w:ascii="Times New Roman" w:hAnsi="Times New Roman"/>
          <w:color w:val="000000"/>
          <w:sz w:val="26"/>
          <w:szCs w:val="26"/>
          <w:lang w:val="vi-VN"/>
        </w:rPr>
        <w:t xml:space="preserve"> và được </w:t>
      </w:r>
      <w:r w:rsidRPr="00C563BD">
        <w:rPr>
          <w:rFonts w:ascii="Times New Roman" w:hAnsi="Times New Roman"/>
          <w:color w:val="000000"/>
          <w:sz w:val="26"/>
          <w:szCs w:val="26"/>
        </w:rPr>
        <w:t>bố cục lại</w:t>
      </w:r>
      <w:r w:rsidR="00834670">
        <w:rPr>
          <w:rFonts w:ascii="Times New Roman" w:hAnsi="Times New Roman"/>
          <w:color w:val="000000"/>
          <w:sz w:val="26"/>
          <w:szCs w:val="26"/>
          <w:lang w:val="vi-VN"/>
        </w:rPr>
        <w:t xml:space="preserve"> phù hợp với các quy định về xây dựng tiêu chuẩn quy chuẩn.</w:t>
      </w:r>
    </w:p>
    <w:p w14:paraId="695191A5" w14:textId="77777777" w:rsidR="00834670" w:rsidRDefault="00834670" w:rsidP="00834670">
      <w:pPr>
        <w:snapToGrid w:val="0"/>
        <w:spacing w:before="120" w:after="120" w:line="288" w:lineRule="auto"/>
        <w:ind w:firstLine="709"/>
        <w:jc w:val="both"/>
        <w:rPr>
          <w:rFonts w:ascii="Times New Roman" w:hAnsi="Times New Roman"/>
          <w:color w:val="000000"/>
          <w:sz w:val="26"/>
          <w:szCs w:val="26"/>
          <w:lang w:val="vi-VN"/>
        </w:rPr>
        <w:sectPr w:rsidR="00834670" w:rsidSect="00034F9C">
          <w:headerReference w:type="default" r:id="rId13"/>
          <w:footerReference w:type="default" r:id="rId14"/>
          <w:pgSz w:w="11907" w:h="16840" w:code="9"/>
          <w:pgMar w:top="1134" w:right="1134" w:bottom="1134" w:left="1701" w:header="567" w:footer="567" w:gutter="0"/>
          <w:cols w:space="720"/>
          <w:docGrid w:linePitch="360"/>
        </w:sectPr>
      </w:pPr>
    </w:p>
    <w:p w14:paraId="715DA011" w14:textId="7B9D4532" w:rsidR="00442E79" w:rsidRDefault="00442E79" w:rsidP="00442E79">
      <w:pPr>
        <w:pStyle w:val="Caption"/>
        <w:spacing w:before="120" w:after="120"/>
        <w:jc w:val="center"/>
        <w:rPr>
          <w:rFonts w:ascii="Times New Roman" w:hAnsi="Times New Roman"/>
          <w:color w:val="auto"/>
          <w:sz w:val="26"/>
          <w:szCs w:val="26"/>
          <w:lang w:val="vi-VN"/>
        </w:rPr>
      </w:pPr>
      <w:bookmarkStart w:id="119" w:name="_Toc458040949"/>
      <w:bookmarkStart w:id="120" w:name="_Toc458639831"/>
      <w:bookmarkStart w:id="121" w:name="_Toc117497449"/>
      <w:bookmarkStart w:id="122" w:name="_Toc119025780"/>
      <w:bookmarkEnd w:id="118"/>
      <w:r w:rsidRPr="00C563BD">
        <w:rPr>
          <w:rFonts w:ascii="Times New Roman" w:hAnsi="Times New Roman"/>
          <w:color w:val="auto"/>
          <w:sz w:val="26"/>
          <w:szCs w:val="26"/>
        </w:rPr>
        <w:lastRenderedPageBreak/>
        <w:t xml:space="preserve">Bảng </w:t>
      </w:r>
      <w:r w:rsidRPr="00C563BD">
        <w:rPr>
          <w:rFonts w:ascii="Times New Roman" w:hAnsi="Times New Roman"/>
          <w:color w:val="auto"/>
          <w:sz w:val="26"/>
          <w:szCs w:val="26"/>
        </w:rPr>
        <w:fldChar w:fldCharType="begin"/>
      </w:r>
      <w:r w:rsidRPr="00C563BD">
        <w:rPr>
          <w:rFonts w:ascii="Times New Roman" w:hAnsi="Times New Roman"/>
          <w:color w:val="auto"/>
          <w:sz w:val="26"/>
          <w:szCs w:val="26"/>
        </w:rPr>
        <w:instrText xml:space="preserve"> SEQ Bảng \* ARABIC </w:instrText>
      </w:r>
      <w:r w:rsidRPr="00C563BD">
        <w:rPr>
          <w:rFonts w:ascii="Times New Roman" w:hAnsi="Times New Roman"/>
          <w:color w:val="auto"/>
          <w:sz w:val="26"/>
          <w:szCs w:val="26"/>
        </w:rPr>
        <w:fldChar w:fldCharType="separate"/>
      </w:r>
      <w:r w:rsidR="006C7797">
        <w:rPr>
          <w:rFonts w:ascii="Times New Roman" w:hAnsi="Times New Roman"/>
          <w:noProof/>
          <w:color w:val="auto"/>
          <w:sz w:val="26"/>
          <w:szCs w:val="26"/>
        </w:rPr>
        <w:t>4</w:t>
      </w:r>
      <w:r w:rsidRPr="00C563BD">
        <w:rPr>
          <w:rFonts w:ascii="Times New Roman" w:hAnsi="Times New Roman"/>
          <w:color w:val="auto"/>
          <w:sz w:val="26"/>
          <w:szCs w:val="26"/>
        </w:rPr>
        <w:fldChar w:fldCharType="end"/>
      </w:r>
      <w:r>
        <w:rPr>
          <w:rFonts w:ascii="Times New Roman" w:hAnsi="Times New Roman"/>
          <w:color w:val="auto"/>
          <w:sz w:val="26"/>
          <w:szCs w:val="26"/>
          <w:lang w:val="vi-VN"/>
        </w:rPr>
        <w:t xml:space="preserve"> -</w:t>
      </w:r>
      <w:r w:rsidRPr="00C563BD">
        <w:rPr>
          <w:rFonts w:ascii="Times New Roman" w:hAnsi="Times New Roman"/>
          <w:color w:val="auto"/>
          <w:sz w:val="26"/>
          <w:szCs w:val="26"/>
        </w:rPr>
        <w:t xml:space="preserve"> Bảng đối chiếu nội dung TCVN và tài liệu tham khảo</w:t>
      </w:r>
      <w:bookmarkEnd w:id="119"/>
      <w:bookmarkEnd w:id="120"/>
      <w:bookmarkEnd w:id="121"/>
      <w:bookmarkEnd w:id="122"/>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111"/>
        <w:gridCol w:w="1559"/>
        <w:gridCol w:w="4252"/>
        <w:gridCol w:w="3119"/>
      </w:tblGrid>
      <w:tr w:rsidR="00834670" w:rsidRPr="001118D8" w14:paraId="2F09BA4D" w14:textId="77777777" w:rsidTr="00743720">
        <w:trPr>
          <w:trHeight w:val="320"/>
          <w:tblHeader/>
        </w:trPr>
        <w:tc>
          <w:tcPr>
            <w:tcW w:w="5524" w:type="dxa"/>
            <w:gridSpan w:val="2"/>
            <w:shd w:val="clear" w:color="auto" w:fill="auto"/>
            <w:noWrap/>
            <w:hideMark/>
          </w:tcPr>
          <w:p w14:paraId="2421DEF5" w14:textId="5742B14F" w:rsidR="00834670" w:rsidRPr="001118D8" w:rsidRDefault="00834670" w:rsidP="00834670">
            <w:pPr>
              <w:snapToGrid w:val="0"/>
              <w:spacing w:before="120" w:after="120"/>
              <w:jc w:val="center"/>
              <w:rPr>
                <w:rFonts w:ascii="Times New Roman" w:hAnsi="Times New Roman"/>
                <w:b/>
                <w:bCs/>
                <w:color w:val="000000"/>
                <w:sz w:val="26"/>
                <w:szCs w:val="26"/>
                <w:lang w:val="vi-VN"/>
              </w:rPr>
            </w:pPr>
            <w:r w:rsidRPr="001118D8">
              <w:rPr>
                <w:rFonts w:ascii="Times New Roman" w:hAnsi="Times New Roman"/>
                <w:b/>
                <w:bCs/>
                <w:color w:val="000000"/>
                <w:sz w:val="26"/>
                <w:szCs w:val="26"/>
              </w:rPr>
              <w:t>Dự</w:t>
            </w:r>
            <w:r w:rsidRPr="001118D8">
              <w:rPr>
                <w:rFonts w:ascii="Times New Roman" w:hAnsi="Times New Roman"/>
                <w:b/>
                <w:bCs/>
                <w:color w:val="000000"/>
                <w:sz w:val="26"/>
                <w:szCs w:val="26"/>
                <w:lang w:val="vi-VN"/>
              </w:rPr>
              <w:t xml:space="preserve"> thảo TCVN ISO/IEC 30134-2:2024</w:t>
            </w:r>
          </w:p>
        </w:tc>
        <w:tc>
          <w:tcPr>
            <w:tcW w:w="5811" w:type="dxa"/>
            <w:gridSpan w:val="2"/>
          </w:tcPr>
          <w:p w14:paraId="554E9935" w14:textId="4C3D4110" w:rsidR="00834670" w:rsidRPr="001118D8" w:rsidRDefault="00834670" w:rsidP="00834670">
            <w:pPr>
              <w:snapToGrid w:val="0"/>
              <w:spacing w:before="120" w:after="120"/>
              <w:jc w:val="center"/>
              <w:rPr>
                <w:rFonts w:ascii="Times New Roman" w:hAnsi="Times New Roman"/>
                <w:b/>
                <w:bCs/>
                <w:color w:val="000000"/>
                <w:sz w:val="26"/>
                <w:szCs w:val="26"/>
                <w:lang w:val="vi-VN"/>
              </w:rPr>
            </w:pPr>
            <w:r w:rsidRPr="001118D8">
              <w:rPr>
                <w:rFonts w:ascii="Times New Roman" w:hAnsi="Times New Roman"/>
                <w:b/>
                <w:bCs/>
                <w:color w:val="000000"/>
                <w:sz w:val="26"/>
                <w:szCs w:val="26"/>
              </w:rPr>
              <w:t>ISO</w:t>
            </w:r>
            <w:r w:rsidRPr="001118D8">
              <w:rPr>
                <w:rFonts w:ascii="Times New Roman" w:hAnsi="Times New Roman"/>
                <w:b/>
                <w:bCs/>
                <w:color w:val="000000"/>
                <w:sz w:val="26"/>
                <w:szCs w:val="26"/>
                <w:lang w:val="vi-VN"/>
              </w:rPr>
              <w:t>/IEC 30134-2:2016</w:t>
            </w:r>
          </w:p>
        </w:tc>
        <w:tc>
          <w:tcPr>
            <w:tcW w:w="3119" w:type="dxa"/>
          </w:tcPr>
          <w:p w14:paraId="435856E0" w14:textId="2EB0F459" w:rsidR="00834670" w:rsidRPr="001118D8" w:rsidRDefault="00834670" w:rsidP="00834670">
            <w:pPr>
              <w:tabs>
                <w:tab w:val="center" w:pos="199"/>
              </w:tabs>
              <w:snapToGrid w:val="0"/>
              <w:spacing w:before="120" w:after="120"/>
              <w:jc w:val="center"/>
              <w:rPr>
                <w:rFonts w:ascii="Times New Roman" w:hAnsi="Times New Roman"/>
                <w:b/>
                <w:bCs/>
                <w:color w:val="000000"/>
                <w:sz w:val="26"/>
                <w:szCs w:val="26"/>
                <w:lang w:val="vi-VN"/>
              </w:rPr>
            </w:pPr>
            <w:r w:rsidRPr="001118D8">
              <w:rPr>
                <w:rFonts w:ascii="Times New Roman" w:hAnsi="Times New Roman"/>
                <w:b/>
                <w:bCs/>
                <w:color w:val="000000"/>
                <w:sz w:val="26"/>
                <w:szCs w:val="26"/>
              </w:rPr>
              <w:t>Hình</w:t>
            </w:r>
            <w:r w:rsidRPr="001118D8">
              <w:rPr>
                <w:rFonts w:ascii="Times New Roman" w:hAnsi="Times New Roman"/>
                <w:b/>
                <w:bCs/>
                <w:color w:val="000000"/>
                <w:sz w:val="26"/>
                <w:szCs w:val="26"/>
                <w:lang w:val="vi-VN"/>
              </w:rPr>
              <w:t xml:space="preserve"> thức xây dựng</w:t>
            </w:r>
          </w:p>
        </w:tc>
      </w:tr>
      <w:tr w:rsidR="00743720" w:rsidRPr="001118D8" w14:paraId="6334A986" w14:textId="77777777" w:rsidTr="00743720">
        <w:trPr>
          <w:trHeight w:val="320"/>
        </w:trPr>
        <w:tc>
          <w:tcPr>
            <w:tcW w:w="1413" w:type="dxa"/>
            <w:shd w:val="clear" w:color="auto" w:fill="auto"/>
            <w:noWrap/>
          </w:tcPr>
          <w:p w14:paraId="25E59E66" w14:textId="56DE0FFB" w:rsidR="00743720" w:rsidRPr="001118D8" w:rsidRDefault="00743720" w:rsidP="00743720">
            <w:pPr>
              <w:snapToGrid w:val="0"/>
              <w:spacing w:before="120" w:after="120"/>
              <w:jc w:val="center"/>
              <w:rPr>
                <w:rFonts w:ascii="Times New Roman" w:hAnsi="Times New Roman"/>
                <w:color w:val="231F20"/>
                <w:sz w:val="26"/>
                <w:szCs w:val="26"/>
                <w:lang w:val="vi-VN"/>
              </w:rPr>
            </w:pPr>
            <w:r w:rsidRPr="001118D8">
              <w:rPr>
                <w:rFonts w:ascii="Times New Roman" w:hAnsi="Times New Roman"/>
                <w:color w:val="231F20"/>
                <w:sz w:val="26"/>
                <w:szCs w:val="26"/>
              </w:rPr>
              <w:t>Mục</w:t>
            </w:r>
          </w:p>
        </w:tc>
        <w:tc>
          <w:tcPr>
            <w:tcW w:w="4111" w:type="dxa"/>
            <w:shd w:val="clear" w:color="auto" w:fill="auto"/>
            <w:noWrap/>
          </w:tcPr>
          <w:p w14:paraId="74FA71BD" w14:textId="3D5606F7" w:rsidR="00743720" w:rsidRPr="001118D8" w:rsidRDefault="00743720" w:rsidP="00743720">
            <w:pPr>
              <w:snapToGrid w:val="0"/>
              <w:spacing w:before="120" w:after="120"/>
              <w:jc w:val="center"/>
              <w:rPr>
                <w:rFonts w:ascii="Times New Roman" w:hAnsi="Times New Roman"/>
                <w:color w:val="000000"/>
                <w:sz w:val="26"/>
                <w:szCs w:val="26"/>
                <w:lang w:val="vi-VN"/>
              </w:rPr>
            </w:pPr>
            <w:r w:rsidRPr="001118D8">
              <w:rPr>
                <w:rFonts w:ascii="Times New Roman" w:hAnsi="Times New Roman"/>
                <w:color w:val="000000"/>
                <w:sz w:val="26"/>
                <w:szCs w:val="26"/>
              </w:rPr>
              <w:t>Tiêu</w:t>
            </w:r>
            <w:r w:rsidRPr="001118D8">
              <w:rPr>
                <w:rFonts w:ascii="Times New Roman" w:hAnsi="Times New Roman"/>
                <w:color w:val="000000"/>
                <w:sz w:val="26"/>
                <w:szCs w:val="26"/>
                <w:lang w:val="vi-VN"/>
              </w:rPr>
              <w:t xml:space="preserve"> đề</w:t>
            </w:r>
          </w:p>
        </w:tc>
        <w:tc>
          <w:tcPr>
            <w:tcW w:w="1559" w:type="dxa"/>
          </w:tcPr>
          <w:p w14:paraId="46EA52D3" w14:textId="3519D0C1"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231F20"/>
                <w:sz w:val="26"/>
                <w:szCs w:val="26"/>
              </w:rPr>
              <w:t>Mục</w:t>
            </w:r>
          </w:p>
        </w:tc>
        <w:tc>
          <w:tcPr>
            <w:tcW w:w="4252" w:type="dxa"/>
          </w:tcPr>
          <w:p w14:paraId="26784989" w14:textId="3A6A4E03"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Tiêu</w:t>
            </w:r>
            <w:r w:rsidRPr="001118D8">
              <w:rPr>
                <w:rFonts w:ascii="Times New Roman" w:hAnsi="Times New Roman"/>
                <w:color w:val="000000"/>
                <w:sz w:val="26"/>
                <w:szCs w:val="26"/>
                <w:lang w:val="vi-VN"/>
              </w:rPr>
              <w:t xml:space="preserve"> đề</w:t>
            </w:r>
          </w:p>
        </w:tc>
        <w:tc>
          <w:tcPr>
            <w:tcW w:w="3119" w:type="dxa"/>
          </w:tcPr>
          <w:p w14:paraId="6FA9E149" w14:textId="77777777" w:rsidR="00743720" w:rsidRPr="001118D8" w:rsidRDefault="00743720" w:rsidP="00743720">
            <w:pPr>
              <w:snapToGrid w:val="0"/>
              <w:spacing w:before="120" w:after="120"/>
              <w:ind w:left="-802"/>
              <w:jc w:val="center"/>
              <w:rPr>
                <w:rFonts w:ascii="Times New Roman" w:hAnsi="Times New Roman"/>
                <w:color w:val="000000"/>
                <w:sz w:val="26"/>
                <w:szCs w:val="26"/>
              </w:rPr>
            </w:pPr>
          </w:p>
        </w:tc>
      </w:tr>
      <w:tr w:rsidR="00834670" w:rsidRPr="001118D8" w14:paraId="18CD4A5E" w14:textId="77777777" w:rsidTr="00743720">
        <w:trPr>
          <w:trHeight w:val="320"/>
        </w:trPr>
        <w:tc>
          <w:tcPr>
            <w:tcW w:w="1413" w:type="dxa"/>
            <w:shd w:val="clear" w:color="auto" w:fill="auto"/>
            <w:noWrap/>
          </w:tcPr>
          <w:p w14:paraId="3B74B513" w14:textId="5B00DD48" w:rsidR="00834670" w:rsidRPr="001118D8" w:rsidRDefault="0083467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1</w:t>
            </w:r>
          </w:p>
        </w:tc>
        <w:tc>
          <w:tcPr>
            <w:tcW w:w="4111" w:type="dxa"/>
            <w:shd w:val="clear" w:color="auto" w:fill="auto"/>
            <w:noWrap/>
          </w:tcPr>
          <w:p w14:paraId="07536609" w14:textId="42D3CD5B" w:rsidR="00834670" w:rsidRPr="001118D8" w:rsidRDefault="00834670" w:rsidP="0083467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Scope</w:t>
            </w:r>
          </w:p>
        </w:tc>
        <w:tc>
          <w:tcPr>
            <w:tcW w:w="1559" w:type="dxa"/>
          </w:tcPr>
          <w:p w14:paraId="257E095D" w14:textId="5279FA8B" w:rsidR="00834670" w:rsidRPr="001118D8" w:rsidRDefault="0083467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1</w:t>
            </w:r>
          </w:p>
        </w:tc>
        <w:tc>
          <w:tcPr>
            <w:tcW w:w="4252" w:type="dxa"/>
          </w:tcPr>
          <w:p w14:paraId="6F3A010F" w14:textId="2C8D8236" w:rsidR="00834670" w:rsidRPr="001118D8" w:rsidRDefault="00834670" w:rsidP="0083467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Phạm vi áp dụng</w:t>
            </w:r>
          </w:p>
        </w:tc>
        <w:tc>
          <w:tcPr>
            <w:tcW w:w="3119" w:type="dxa"/>
          </w:tcPr>
          <w:p w14:paraId="1F479935" w14:textId="573B3722" w:rsidR="0083467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794F61D4" w14:textId="77777777" w:rsidTr="00743720">
        <w:trPr>
          <w:trHeight w:val="320"/>
        </w:trPr>
        <w:tc>
          <w:tcPr>
            <w:tcW w:w="1413" w:type="dxa"/>
            <w:shd w:val="clear" w:color="auto" w:fill="auto"/>
            <w:noWrap/>
            <w:hideMark/>
          </w:tcPr>
          <w:p w14:paraId="233CD72B" w14:textId="77777777" w:rsidR="00834670" w:rsidRPr="001118D8" w:rsidRDefault="0083467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2</w:t>
            </w:r>
          </w:p>
        </w:tc>
        <w:tc>
          <w:tcPr>
            <w:tcW w:w="4111" w:type="dxa"/>
            <w:shd w:val="clear" w:color="auto" w:fill="auto"/>
            <w:noWrap/>
            <w:hideMark/>
          </w:tcPr>
          <w:p w14:paraId="70175320" w14:textId="77777777" w:rsidR="00834670" w:rsidRPr="001118D8" w:rsidRDefault="00834670" w:rsidP="000530CC">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Normative references</w:t>
            </w:r>
          </w:p>
        </w:tc>
        <w:tc>
          <w:tcPr>
            <w:tcW w:w="1559" w:type="dxa"/>
          </w:tcPr>
          <w:p w14:paraId="49DCEFE8" w14:textId="77777777" w:rsidR="00834670" w:rsidRPr="001118D8" w:rsidRDefault="0083467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2</w:t>
            </w:r>
          </w:p>
        </w:tc>
        <w:tc>
          <w:tcPr>
            <w:tcW w:w="4252" w:type="dxa"/>
          </w:tcPr>
          <w:p w14:paraId="3BEC65BB" w14:textId="77777777" w:rsidR="00834670" w:rsidRPr="001118D8" w:rsidRDefault="00834670" w:rsidP="000530CC">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Tài liệu viện dẫn</w:t>
            </w:r>
          </w:p>
        </w:tc>
        <w:tc>
          <w:tcPr>
            <w:tcW w:w="3119" w:type="dxa"/>
          </w:tcPr>
          <w:p w14:paraId="77079797" w14:textId="46718247" w:rsidR="0083467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0D220A35" w14:textId="77777777" w:rsidTr="00743720">
        <w:trPr>
          <w:trHeight w:val="320"/>
        </w:trPr>
        <w:tc>
          <w:tcPr>
            <w:tcW w:w="1413" w:type="dxa"/>
            <w:shd w:val="clear" w:color="auto" w:fill="auto"/>
            <w:noWrap/>
            <w:hideMark/>
          </w:tcPr>
          <w:p w14:paraId="75690A75"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3</w:t>
            </w:r>
          </w:p>
        </w:tc>
        <w:tc>
          <w:tcPr>
            <w:tcW w:w="4111" w:type="dxa"/>
            <w:shd w:val="clear" w:color="auto" w:fill="auto"/>
            <w:noWrap/>
            <w:hideMark/>
          </w:tcPr>
          <w:p w14:paraId="59C321DD"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Terms, definitions, abbreviated terms and symbols</w:t>
            </w:r>
          </w:p>
        </w:tc>
        <w:tc>
          <w:tcPr>
            <w:tcW w:w="1559" w:type="dxa"/>
          </w:tcPr>
          <w:p w14:paraId="2DF702C3"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3</w:t>
            </w:r>
          </w:p>
        </w:tc>
        <w:tc>
          <w:tcPr>
            <w:tcW w:w="4252" w:type="dxa"/>
          </w:tcPr>
          <w:p w14:paraId="7831C6C2"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Thuật ngữ, định nghĩa, từ viết tắt và ký hiệu</w:t>
            </w:r>
          </w:p>
        </w:tc>
        <w:tc>
          <w:tcPr>
            <w:tcW w:w="3119" w:type="dxa"/>
          </w:tcPr>
          <w:p w14:paraId="28A2EB1A" w14:textId="74BE34BF"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3E43742F" w14:textId="77777777" w:rsidTr="00743720">
        <w:trPr>
          <w:trHeight w:val="320"/>
        </w:trPr>
        <w:tc>
          <w:tcPr>
            <w:tcW w:w="1413" w:type="dxa"/>
            <w:shd w:val="clear" w:color="auto" w:fill="auto"/>
            <w:noWrap/>
            <w:hideMark/>
          </w:tcPr>
          <w:p w14:paraId="6DEE4AD9"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3.1</w:t>
            </w:r>
          </w:p>
        </w:tc>
        <w:tc>
          <w:tcPr>
            <w:tcW w:w="4111" w:type="dxa"/>
            <w:shd w:val="clear" w:color="auto" w:fill="auto"/>
            <w:noWrap/>
            <w:hideMark/>
          </w:tcPr>
          <w:p w14:paraId="69BA5E7E"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Terms and definitions</w:t>
            </w:r>
          </w:p>
        </w:tc>
        <w:tc>
          <w:tcPr>
            <w:tcW w:w="1559" w:type="dxa"/>
          </w:tcPr>
          <w:p w14:paraId="2DC7E4C3"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3.1</w:t>
            </w:r>
          </w:p>
        </w:tc>
        <w:tc>
          <w:tcPr>
            <w:tcW w:w="4252" w:type="dxa"/>
          </w:tcPr>
          <w:p w14:paraId="689FD046"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Thuật ngữ và định nghĩa</w:t>
            </w:r>
          </w:p>
        </w:tc>
        <w:tc>
          <w:tcPr>
            <w:tcW w:w="3119" w:type="dxa"/>
          </w:tcPr>
          <w:p w14:paraId="5605F98D" w14:textId="5AE18591"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753B424D" w14:textId="77777777" w:rsidTr="00743720">
        <w:trPr>
          <w:trHeight w:val="320"/>
        </w:trPr>
        <w:tc>
          <w:tcPr>
            <w:tcW w:w="1413" w:type="dxa"/>
            <w:shd w:val="clear" w:color="auto" w:fill="auto"/>
            <w:noWrap/>
            <w:hideMark/>
          </w:tcPr>
          <w:p w14:paraId="3CCD005F"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3.2</w:t>
            </w:r>
          </w:p>
        </w:tc>
        <w:tc>
          <w:tcPr>
            <w:tcW w:w="4111" w:type="dxa"/>
            <w:shd w:val="clear" w:color="auto" w:fill="auto"/>
            <w:noWrap/>
            <w:hideMark/>
          </w:tcPr>
          <w:p w14:paraId="1F94196D"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Abbreviated terms</w:t>
            </w:r>
          </w:p>
        </w:tc>
        <w:tc>
          <w:tcPr>
            <w:tcW w:w="1559" w:type="dxa"/>
          </w:tcPr>
          <w:p w14:paraId="0FA02711"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3.2</w:t>
            </w:r>
          </w:p>
        </w:tc>
        <w:tc>
          <w:tcPr>
            <w:tcW w:w="4252" w:type="dxa"/>
          </w:tcPr>
          <w:p w14:paraId="0E07810F"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Viết tắt</w:t>
            </w:r>
          </w:p>
        </w:tc>
        <w:tc>
          <w:tcPr>
            <w:tcW w:w="3119" w:type="dxa"/>
          </w:tcPr>
          <w:p w14:paraId="50EED3AC" w14:textId="301B5168"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4E2E4C93" w14:textId="77777777" w:rsidTr="00743720">
        <w:trPr>
          <w:trHeight w:val="320"/>
        </w:trPr>
        <w:tc>
          <w:tcPr>
            <w:tcW w:w="1413" w:type="dxa"/>
            <w:shd w:val="clear" w:color="auto" w:fill="auto"/>
            <w:noWrap/>
            <w:hideMark/>
          </w:tcPr>
          <w:p w14:paraId="7D6B757C"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3.3</w:t>
            </w:r>
          </w:p>
        </w:tc>
        <w:tc>
          <w:tcPr>
            <w:tcW w:w="4111" w:type="dxa"/>
            <w:shd w:val="clear" w:color="auto" w:fill="auto"/>
            <w:noWrap/>
            <w:hideMark/>
          </w:tcPr>
          <w:p w14:paraId="1E871D72"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Symbols</w:t>
            </w:r>
          </w:p>
        </w:tc>
        <w:tc>
          <w:tcPr>
            <w:tcW w:w="1559" w:type="dxa"/>
          </w:tcPr>
          <w:p w14:paraId="40815A95"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3.3</w:t>
            </w:r>
          </w:p>
        </w:tc>
        <w:tc>
          <w:tcPr>
            <w:tcW w:w="4252" w:type="dxa"/>
          </w:tcPr>
          <w:p w14:paraId="3D7CDA80"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Ký hiệu</w:t>
            </w:r>
          </w:p>
        </w:tc>
        <w:tc>
          <w:tcPr>
            <w:tcW w:w="3119" w:type="dxa"/>
          </w:tcPr>
          <w:p w14:paraId="79D72834" w14:textId="0C6EEEB9"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69475826" w14:textId="77777777" w:rsidTr="00743720">
        <w:trPr>
          <w:trHeight w:val="320"/>
        </w:trPr>
        <w:tc>
          <w:tcPr>
            <w:tcW w:w="1413" w:type="dxa"/>
            <w:shd w:val="clear" w:color="auto" w:fill="auto"/>
            <w:noWrap/>
            <w:hideMark/>
          </w:tcPr>
          <w:p w14:paraId="613C7CA4"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4</w:t>
            </w:r>
          </w:p>
        </w:tc>
        <w:tc>
          <w:tcPr>
            <w:tcW w:w="4111" w:type="dxa"/>
            <w:shd w:val="clear" w:color="auto" w:fill="auto"/>
            <w:noWrap/>
            <w:hideMark/>
          </w:tcPr>
          <w:p w14:paraId="6886863A"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Applicable areas of the data centre</w:t>
            </w:r>
          </w:p>
        </w:tc>
        <w:tc>
          <w:tcPr>
            <w:tcW w:w="1559" w:type="dxa"/>
          </w:tcPr>
          <w:p w14:paraId="0BD8596F"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4</w:t>
            </w:r>
          </w:p>
        </w:tc>
        <w:tc>
          <w:tcPr>
            <w:tcW w:w="4252" w:type="dxa"/>
          </w:tcPr>
          <w:p w14:paraId="05EB9C31" w14:textId="52A45AFC"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w:t>
            </w:r>
            <w:r w:rsidR="006056EE" w:rsidRPr="001118D8">
              <w:rPr>
                <w:rFonts w:ascii="Times New Roman" w:hAnsi="Times New Roman"/>
                <w:color w:val="000000"/>
                <w:sz w:val="26"/>
                <w:szCs w:val="26"/>
              </w:rPr>
              <w:t>Phạm</w:t>
            </w:r>
            <w:r w:rsidR="006056EE" w:rsidRPr="001118D8">
              <w:rPr>
                <w:rFonts w:ascii="Times New Roman" w:hAnsi="Times New Roman"/>
                <w:color w:val="000000"/>
                <w:sz w:val="26"/>
                <w:szCs w:val="26"/>
                <w:lang w:val="vi-VN"/>
              </w:rPr>
              <w:t xml:space="preserve"> vi</w:t>
            </w:r>
            <w:r w:rsidRPr="001118D8">
              <w:rPr>
                <w:rFonts w:ascii="Times New Roman" w:hAnsi="Times New Roman"/>
                <w:color w:val="000000"/>
                <w:sz w:val="26"/>
                <w:szCs w:val="26"/>
              </w:rPr>
              <w:t xml:space="preserve"> áp dụng của trung tâm dữ liệu</w:t>
            </w:r>
          </w:p>
        </w:tc>
        <w:tc>
          <w:tcPr>
            <w:tcW w:w="3119" w:type="dxa"/>
          </w:tcPr>
          <w:p w14:paraId="3AD3C55D" w14:textId="322356F7"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24E01CC7" w14:textId="77777777" w:rsidTr="00743720">
        <w:trPr>
          <w:trHeight w:val="320"/>
        </w:trPr>
        <w:tc>
          <w:tcPr>
            <w:tcW w:w="1413" w:type="dxa"/>
            <w:shd w:val="clear" w:color="auto" w:fill="auto"/>
            <w:noWrap/>
            <w:hideMark/>
          </w:tcPr>
          <w:p w14:paraId="710DA210"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5</w:t>
            </w:r>
          </w:p>
        </w:tc>
        <w:tc>
          <w:tcPr>
            <w:tcW w:w="4111" w:type="dxa"/>
            <w:shd w:val="clear" w:color="auto" w:fill="auto"/>
            <w:noWrap/>
            <w:hideMark/>
          </w:tcPr>
          <w:p w14:paraId="330F2E1C" w14:textId="6B3D16D8" w:rsidR="00743720" w:rsidRPr="001118D8" w:rsidRDefault="00743720" w:rsidP="00743720">
            <w:pPr>
              <w:snapToGrid w:val="0"/>
              <w:spacing w:before="120" w:after="120"/>
              <w:jc w:val="both"/>
              <w:rPr>
                <w:rFonts w:ascii="Times New Roman" w:hAnsi="Times New Roman"/>
                <w:color w:val="000000"/>
                <w:sz w:val="26"/>
                <w:szCs w:val="26"/>
                <w:lang w:val="vi-VN"/>
              </w:rPr>
            </w:pPr>
            <w:r w:rsidRPr="001118D8">
              <w:rPr>
                <w:rFonts w:ascii="Times New Roman" w:hAnsi="Times New Roman"/>
                <w:color w:val="000000"/>
                <w:sz w:val="26"/>
                <w:szCs w:val="26"/>
              </w:rPr>
              <w:t>Determination of power usage effectiveness</w:t>
            </w:r>
          </w:p>
        </w:tc>
        <w:tc>
          <w:tcPr>
            <w:tcW w:w="1559" w:type="dxa"/>
          </w:tcPr>
          <w:p w14:paraId="6868AA08"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5</w:t>
            </w:r>
          </w:p>
        </w:tc>
        <w:tc>
          <w:tcPr>
            <w:tcW w:w="4252" w:type="dxa"/>
          </w:tcPr>
          <w:p w14:paraId="124FE826" w14:textId="510A22A5"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Xác định hiệu suất sử dụng điện</w:t>
            </w:r>
          </w:p>
        </w:tc>
        <w:tc>
          <w:tcPr>
            <w:tcW w:w="3119" w:type="dxa"/>
          </w:tcPr>
          <w:p w14:paraId="1E89BB38" w14:textId="7F98753C"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0D184003" w14:textId="77777777" w:rsidTr="00743720">
        <w:trPr>
          <w:trHeight w:val="320"/>
        </w:trPr>
        <w:tc>
          <w:tcPr>
            <w:tcW w:w="1413" w:type="dxa"/>
            <w:shd w:val="clear" w:color="auto" w:fill="auto"/>
            <w:noWrap/>
            <w:hideMark/>
          </w:tcPr>
          <w:p w14:paraId="44BCB212"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6</w:t>
            </w:r>
          </w:p>
        </w:tc>
        <w:tc>
          <w:tcPr>
            <w:tcW w:w="4111" w:type="dxa"/>
            <w:shd w:val="clear" w:color="auto" w:fill="auto"/>
            <w:noWrap/>
            <w:hideMark/>
          </w:tcPr>
          <w:p w14:paraId="160823B9"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Measurement of power usage effectiveness</w:t>
            </w:r>
          </w:p>
        </w:tc>
        <w:tc>
          <w:tcPr>
            <w:tcW w:w="1559" w:type="dxa"/>
          </w:tcPr>
          <w:p w14:paraId="514F391D"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6</w:t>
            </w:r>
          </w:p>
        </w:tc>
        <w:tc>
          <w:tcPr>
            <w:tcW w:w="4252" w:type="dxa"/>
          </w:tcPr>
          <w:p w14:paraId="674EDD42" w14:textId="69E549A1" w:rsidR="00743720" w:rsidRPr="001118D8" w:rsidRDefault="00743720" w:rsidP="00743720">
            <w:pPr>
              <w:snapToGrid w:val="0"/>
              <w:spacing w:before="120" w:after="120"/>
              <w:jc w:val="both"/>
              <w:rPr>
                <w:rFonts w:ascii="Times New Roman" w:hAnsi="Times New Roman"/>
                <w:color w:val="000000"/>
                <w:sz w:val="26"/>
                <w:szCs w:val="26"/>
                <w:lang w:val="vi-VN"/>
              </w:rPr>
            </w:pPr>
            <w:r w:rsidRPr="001118D8">
              <w:rPr>
                <w:rFonts w:ascii="Times New Roman" w:hAnsi="Times New Roman"/>
                <w:color w:val="000000"/>
                <w:sz w:val="26"/>
                <w:szCs w:val="26"/>
              </w:rPr>
              <w:t xml:space="preserve"> Phép</w:t>
            </w:r>
            <w:r w:rsidRPr="001118D8">
              <w:rPr>
                <w:rFonts w:ascii="Times New Roman" w:hAnsi="Times New Roman"/>
                <w:color w:val="000000"/>
                <w:sz w:val="26"/>
                <w:szCs w:val="26"/>
                <w:lang w:val="vi-VN"/>
              </w:rPr>
              <w:t xml:space="preserve"> đo</w:t>
            </w:r>
            <w:r w:rsidRPr="001118D8">
              <w:rPr>
                <w:rFonts w:ascii="Times New Roman" w:hAnsi="Times New Roman"/>
                <w:color w:val="000000"/>
                <w:sz w:val="26"/>
                <w:szCs w:val="26"/>
              </w:rPr>
              <w:t xml:space="preserve"> hiệu suất sử dụng</w:t>
            </w:r>
            <w:r w:rsidRPr="001118D8">
              <w:rPr>
                <w:rFonts w:ascii="Times New Roman" w:hAnsi="Times New Roman"/>
                <w:color w:val="000000"/>
                <w:sz w:val="26"/>
                <w:szCs w:val="26"/>
                <w:lang w:val="vi-VN"/>
              </w:rPr>
              <w:t xml:space="preserve"> điện</w:t>
            </w:r>
          </w:p>
        </w:tc>
        <w:tc>
          <w:tcPr>
            <w:tcW w:w="3119" w:type="dxa"/>
          </w:tcPr>
          <w:p w14:paraId="578B1101" w14:textId="5A048F83" w:rsidR="00743720" w:rsidRPr="001118D8" w:rsidRDefault="00743720" w:rsidP="00743720">
            <w:pPr>
              <w:snapToGrid w:val="0"/>
              <w:spacing w:before="120" w:after="120"/>
              <w:ind w:left="26"/>
              <w:jc w:val="both"/>
              <w:rPr>
                <w:rFonts w:ascii="Times New Roman" w:hAnsi="Times New Roman"/>
                <w:color w:val="000000"/>
                <w:sz w:val="26"/>
                <w:szCs w:val="26"/>
                <w:lang w:val="vi-VN"/>
              </w:rPr>
            </w:pPr>
          </w:p>
        </w:tc>
      </w:tr>
      <w:tr w:rsidR="00743720" w:rsidRPr="001118D8" w14:paraId="31461918" w14:textId="77777777" w:rsidTr="00743720">
        <w:trPr>
          <w:trHeight w:val="320"/>
        </w:trPr>
        <w:tc>
          <w:tcPr>
            <w:tcW w:w="1413" w:type="dxa"/>
            <w:shd w:val="clear" w:color="auto" w:fill="auto"/>
            <w:noWrap/>
            <w:hideMark/>
          </w:tcPr>
          <w:p w14:paraId="765C7519"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6.1</w:t>
            </w:r>
          </w:p>
        </w:tc>
        <w:tc>
          <w:tcPr>
            <w:tcW w:w="4111" w:type="dxa"/>
            <w:shd w:val="clear" w:color="auto" w:fill="auto"/>
            <w:noWrap/>
            <w:hideMark/>
          </w:tcPr>
          <w:p w14:paraId="54054142"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Measuring energy consumption</w:t>
            </w:r>
          </w:p>
        </w:tc>
        <w:tc>
          <w:tcPr>
            <w:tcW w:w="1559" w:type="dxa"/>
          </w:tcPr>
          <w:p w14:paraId="68A56082"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6.1</w:t>
            </w:r>
          </w:p>
        </w:tc>
        <w:tc>
          <w:tcPr>
            <w:tcW w:w="4252" w:type="dxa"/>
          </w:tcPr>
          <w:p w14:paraId="2B744BC5"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Đo tiêu thụ năng lượng</w:t>
            </w:r>
          </w:p>
        </w:tc>
        <w:tc>
          <w:tcPr>
            <w:tcW w:w="3119" w:type="dxa"/>
          </w:tcPr>
          <w:p w14:paraId="278B97AA" w14:textId="697B3C4B"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1509F9C1" w14:textId="77777777" w:rsidTr="00743720">
        <w:trPr>
          <w:trHeight w:val="320"/>
        </w:trPr>
        <w:tc>
          <w:tcPr>
            <w:tcW w:w="1413" w:type="dxa"/>
            <w:shd w:val="clear" w:color="auto" w:fill="auto"/>
            <w:noWrap/>
            <w:hideMark/>
          </w:tcPr>
          <w:p w14:paraId="693D7A5E"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lastRenderedPageBreak/>
              <w:t>6.2</w:t>
            </w:r>
          </w:p>
        </w:tc>
        <w:tc>
          <w:tcPr>
            <w:tcW w:w="4111" w:type="dxa"/>
            <w:shd w:val="clear" w:color="auto" w:fill="auto"/>
            <w:noWrap/>
            <w:hideMark/>
          </w:tcPr>
          <w:p w14:paraId="768C6161"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Categories of power usage effectiveness</w:t>
            </w:r>
          </w:p>
        </w:tc>
        <w:tc>
          <w:tcPr>
            <w:tcW w:w="1559" w:type="dxa"/>
          </w:tcPr>
          <w:p w14:paraId="0280C266"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6.2</w:t>
            </w:r>
          </w:p>
        </w:tc>
        <w:tc>
          <w:tcPr>
            <w:tcW w:w="4252" w:type="dxa"/>
          </w:tcPr>
          <w:p w14:paraId="20AE75C9" w14:textId="22DBC94E"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Các loại hiệu suất sử dụng điện</w:t>
            </w:r>
          </w:p>
        </w:tc>
        <w:tc>
          <w:tcPr>
            <w:tcW w:w="3119" w:type="dxa"/>
          </w:tcPr>
          <w:p w14:paraId="5FE9525F" w14:textId="1BF45EDE"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034F8566" w14:textId="77777777" w:rsidTr="00743720">
        <w:trPr>
          <w:trHeight w:val="320"/>
        </w:trPr>
        <w:tc>
          <w:tcPr>
            <w:tcW w:w="1413" w:type="dxa"/>
            <w:shd w:val="clear" w:color="auto" w:fill="auto"/>
            <w:noWrap/>
            <w:hideMark/>
          </w:tcPr>
          <w:p w14:paraId="3ABF2287"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7</w:t>
            </w:r>
          </w:p>
        </w:tc>
        <w:tc>
          <w:tcPr>
            <w:tcW w:w="4111" w:type="dxa"/>
            <w:shd w:val="clear" w:color="auto" w:fill="auto"/>
            <w:noWrap/>
            <w:hideMark/>
          </w:tcPr>
          <w:p w14:paraId="519C5E79"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Reporting of power usage effectiveness</w:t>
            </w:r>
          </w:p>
        </w:tc>
        <w:tc>
          <w:tcPr>
            <w:tcW w:w="1559" w:type="dxa"/>
          </w:tcPr>
          <w:p w14:paraId="76E12218"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7</w:t>
            </w:r>
          </w:p>
        </w:tc>
        <w:tc>
          <w:tcPr>
            <w:tcW w:w="4252" w:type="dxa"/>
          </w:tcPr>
          <w:p w14:paraId="35E5E044" w14:textId="5569B9AF"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Báo cáo hiệu suất sử dụng điện</w:t>
            </w:r>
          </w:p>
        </w:tc>
        <w:tc>
          <w:tcPr>
            <w:tcW w:w="3119" w:type="dxa"/>
          </w:tcPr>
          <w:p w14:paraId="4ED9599C" w14:textId="7C028BF3" w:rsidR="00743720" w:rsidRPr="001118D8" w:rsidRDefault="00743720" w:rsidP="00743720">
            <w:pPr>
              <w:snapToGrid w:val="0"/>
              <w:spacing w:before="120" w:after="120"/>
              <w:ind w:left="26"/>
              <w:jc w:val="both"/>
              <w:rPr>
                <w:rFonts w:ascii="Times New Roman" w:hAnsi="Times New Roman"/>
                <w:color w:val="000000"/>
                <w:sz w:val="26"/>
                <w:szCs w:val="26"/>
                <w:lang w:val="vi-VN"/>
              </w:rPr>
            </w:pPr>
          </w:p>
        </w:tc>
      </w:tr>
      <w:tr w:rsidR="00743720" w:rsidRPr="001118D8" w14:paraId="22D45570" w14:textId="77777777" w:rsidTr="00743720">
        <w:trPr>
          <w:trHeight w:val="320"/>
        </w:trPr>
        <w:tc>
          <w:tcPr>
            <w:tcW w:w="1413" w:type="dxa"/>
            <w:shd w:val="clear" w:color="auto" w:fill="auto"/>
            <w:noWrap/>
            <w:hideMark/>
          </w:tcPr>
          <w:p w14:paraId="1CBD57B9"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7.1</w:t>
            </w:r>
          </w:p>
        </w:tc>
        <w:tc>
          <w:tcPr>
            <w:tcW w:w="4111" w:type="dxa"/>
            <w:shd w:val="clear" w:color="auto" w:fill="auto"/>
            <w:noWrap/>
            <w:hideMark/>
          </w:tcPr>
          <w:p w14:paraId="26DB1A7E"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Requirements</w:t>
            </w:r>
          </w:p>
        </w:tc>
        <w:tc>
          <w:tcPr>
            <w:tcW w:w="1559" w:type="dxa"/>
          </w:tcPr>
          <w:p w14:paraId="3E942CCA"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7.1</w:t>
            </w:r>
          </w:p>
        </w:tc>
        <w:tc>
          <w:tcPr>
            <w:tcW w:w="4252" w:type="dxa"/>
          </w:tcPr>
          <w:p w14:paraId="55871321"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 xml:space="preserve"> Yêu cầu</w:t>
            </w:r>
          </w:p>
        </w:tc>
        <w:tc>
          <w:tcPr>
            <w:tcW w:w="3119" w:type="dxa"/>
          </w:tcPr>
          <w:p w14:paraId="39F5B959" w14:textId="2A871174"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4D9B091B" w14:textId="77777777" w:rsidTr="00743720">
        <w:trPr>
          <w:trHeight w:val="320"/>
        </w:trPr>
        <w:tc>
          <w:tcPr>
            <w:tcW w:w="1413" w:type="dxa"/>
            <w:shd w:val="clear" w:color="auto" w:fill="auto"/>
            <w:noWrap/>
            <w:hideMark/>
          </w:tcPr>
          <w:p w14:paraId="46DE75D1"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7.2</w:t>
            </w:r>
          </w:p>
        </w:tc>
        <w:tc>
          <w:tcPr>
            <w:tcW w:w="4111" w:type="dxa"/>
            <w:shd w:val="clear" w:color="auto" w:fill="auto"/>
            <w:noWrap/>
            <w:hideMark/>
          </w:tcPr>
          <w:p w14:paraId="5F5A9B61"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Recommendations</w:t>
            </w:r>
          </w:p>
        </w:tc>
        <w:tc>
          <w:tcPr>
            <w:tcW w:w="1559" w:type="dxa"/>
          </w:tcPr>
          <w:p w14:paraId="3207CAE1"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7.2</w:t>
            </w:r>
          </w:p>
        </w:tc>
        <w:tc>
          <w:tcPr>
            <w:tcW w:w="4252" w:type="dxa"/>
          </w:tcPr>
          <w:p w14:paraId="6FFEF021" w14:textId="220A8E90" w:rsidR="00743720" w:rsidRPr="001118D8" w:rsidRDefault="00743720" w:rsidP="00743720">
            <w:pPr>
              <w:snapToGrid w:val="0"/>
              <w:spacing w:before="120" w:after="120"/>
              <w:jc w:val="both"/>
              <w:rPr>
                <w:rFonts w:ascii="Times New Roman" w:hAnsi="Times New Roman"/>
                <w:color w:val="000000"/>
                <w:sz w:val="26"/>
                <w:szCs w:val="26"/>
                <w:lang w:val="vi-VN"/>
              </w:rPr>
            </w:pPr>
            <w:r w:rsidRPr="001118D8">
              <w:rPr>
                <w:rFonts w:ascii="Times New Roman" w:hAnsi="Times New Roman"/>
                <w:color w:val="000000"/>
                <w:sz w:val="26"/>
                <w:szCs w:val="26"/>
              </w:rPr>
              <w:t xml:space="preserve"> </w:t>
            </w:r>
            <w:r w:rsidR="001118D8">
              <w:rPr>
                <w:rFonts w:ascii="Times New Roman" w:hAnsi="Times New Roman"/>
                <w:color w:val="000000"/>
                <w:sz w:val="26"/>
                <w:szCs w:val="26"/>
              </w:rPr>
              <w:t>Khuyến</w:t>
            </w:r>
            <w:r w:rsidR="001118D8">
              <w:rPr>
                <w:rFonts w:ascii="Times New Roman" w:hAnsi="Times New Roman"/>
                <w:color w:val="000000"/>
                <w:sz w:val="26"/>
                <w:szCs w:val="26"/>
                <w:lang w:val="vi-VN"/>
              </w:rPr>
              <w:t xml:space="preserve"> nghị</w:t>
            </w:r>
          </w:p>
        </w:tc>
        <w:tc>
          <w:tcPr>
            <w:tcW w:w="3119" w:type="dxa"/>
          </w:tcPr>
          <w:p w14:paraId="224F0C63" w14:textId="39A39839"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34A989CE" w14:textId="77777777" w:rsidTr="00743720">
        <w:trPr>
          <w:trHeight w:val="320"/>
        </w:trPr>
        <w:tc>
          <w:tcPr>
            <w:tcW w:w="1413" w:type="dxa"/>
            <w:shd w:val="clear" w:color="auto" w:fill="auto"/>
            <w:noWrap/>
            <w:hideMark/>
          </w:tcPr>
          <w:p w14:paraId="4FB9342A"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Annex A</w:t>
            </w:r>
          </w:p>
        </w:tc>
        <w:tc>
          <w:tcPr>
            <w:tcW w:w="4111" w:type="dxa"/>
            <w:shd w:val="clear" w:color="auto" w:fill="auto"/>
            <w:noWrap/>
            <w:hideMark/>
          </w:tcPr>
          <w:p w14:paraId="0F13038E"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(normative) Energy measurements</w:t>
            </w:r>
          </w:p>
        </w:tc>
        <w:tc>
          <w:tcPr>
            <w:tcW w:w="1559" w:type="dxa"/>
          </w:tcPr>
          <w:p w14:paraId="677C1F52"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Phụ lục A</w:t>
            </w:r>
          </w:p>
        </w:tc>
        <w:tc>
          <w:tcPr>
            <w:tcW w:w="4252" w:type="dxa"/>
          </w:tcPr>
          <w:p w14:paraId="1FCA8A99"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(Quy định) Các phép đo năng lượng</w:t>
            </w:r>
          </w:p>
        </w:tc>
        <w:tc>
          <w:tcPr>
            <w:tcW w:w="3119" w:type="dxa"/>
          </w:tcPr>
          <w:p w14:paraId="3833C216" w14:textId="0DB48C31"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0E1506A4" w14:textId="77777777" w:rsidTr="00743720">
        <w:trPr>
          <w:trHeight w:val="320"/>
        </w:trPr>
        <w:tc>
          <w:tcPr>
            <w:tcW w:w="1413" w:type="dxa"/>
            <w:shd w:val="clear" w:color="auto" w:fill="auto"/>
            <w:noWrap/>
            <w:hideMark/>
          </w:tcPr>
          <w:p w14:paraId="67186612"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Annex B</w:t>
            </w:r>
          </w:p>
        </w:tc>
        <w:tc>
          <w:tcPr>
            <w:tcW w:w="4111" w:type="dxa"/>
            <w:shd w:val="clear" w:color="auto" w:fill="auto"/>
            <w:noWrap/>
            <w:hideMark/>
          </w:tcPr>
          <w:p w14:paraId="2E10B042"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(normative) Calculation of PUE using various energy supplies</w:t>
            </w:r>
          </w:p>
        </w:tc>
        <w:tc>
          <w:tcPr>
            <w:tcW w:w="1559" w:type="dxa"/>
          </w:tcPr>
          <w:p w14:paraId="5146A725"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Phụ lục B</w:t>
            </w:r>
          </w:p>
        </w:tc>
        <w:tc>
          <w:tcPr>
            <w:tcW w:w="4252" w:type="dxa"/>
          </w:tcPr>
          <w:p w14:paraId="1E87281C"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(Quy định) Tính toán PUE sử dụng các nguồn cung cấp năng lượng khác nhau</w:t>
            </w:r>
          </w:p>
        </w:tc>
        <w:tc>
          <w:tcPr>
            <w:tcW w:w="3119" w:type="dxa"/>
          </w:tcPr>
          <w:p w14:paraId="421A82B4" w14:textId="6EF10B83"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3B26356A" w14:textId="77777777" w:rsidTr="00743720">
        <w:trPr>
          <w:trHeight w:val="320"/>
        </w:trPr>
        <w:tc>
          <w:tcPr>
            <w:tcW w:w="1413" w:type="dxa"/>
            <w:shd w:val="clear" w:color="auto" w:fill="auto"/>
            <w:noWrap/>
            <w:hideMark/>
          </w:tcPr>
          <w:p w14:paraId="57AC6D7C"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Annex C</w:t>
            </w:r>
          </w:p>
        </w:tc>
        <w:tc>
          <w:tcPr>
            <w:tcW w:w="4111" w:type="dxa"/>
            <w:shd w:val="clear" w:color="auto" w:fill="auto"/>
            <w:noWrap/>
            <w:hideMark/>
          </w:tcPr>
          <w:p w14:paraId="0CF118D3"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(normative) PUE derivatives</w:t>
            </w:r>
          </w:p>
        </w:tc>
        <w:tc>
          <w:tcPr>
            <w:tcW w:w="1559" w:type="dxa"/>
          </w:tcPr>
          <w:p w14:paraId="185203E9"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Phụ lục C</w:t>
            </w:r>
          </w:p>
        </w:tc>
        <w:tc>
          <w:tcPr>
            <w:tcW w:w="4252" w:type="dxa"/>
          </w:tcPr>
          <w:p w14:paraId="1D6CD066"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(Quy định) Các dẫn xuất của PUE</w:t>
            </w:r>
          </w:p>
        </w:tc>
        <w:tc>
          <w:tcPr>
            <w:tcW w:w="3119" w:type="dxa"/>
          </w:tcPr>
          <w:p w14:paraId="728388DB" w14:textId="10EAF8EA"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3BC54021" w14:textId="77777777" w:rsidTr="00743720">
        <w:trPr>
          <w:trHeight w:val="320"/>
        </w:trPr>
        <w:tc>
          <w:tcPr>
            <w:tcW w:w="1413" w:type="dxa"/>
            <w:shd w:val="clear" w:color="auto" w:fill="auto"/>
            <w:noWrap/>
            <w:hideMark/>
          </w:tcPr>
          <w:p w14:paraId="43DC0716" w14:textId="77777777" w:rsidR="00743720" w:rsidRPr="001118D8" w:rsidRDefault="00743720" w:rsidP="00743720">
            <w:pPr>
              <w:snapToGrid w:val="0"/>
              <w:spacing w:before="120" w:after="120"/>
              <w:jc w:val="center"/>
              <w:rPr>
                <w:rFonts w:ascii="Times New Roman" w:hAnsi="Times New Roman"/>
                <w:color w:val="231F20"/>
                <w:sz w:val="26"/>
                <w:szCs w:val="26"/>
              </w:rPr>
            </w:pPr>
            <w:r w:rsidRPr="001118D8">
              <w:rPr>
                <w:rFonts w:ascii="Times New Roman" w:hAnsi="Times New Roman"/>
                <w:color w:val="231F20"/>
                <w:sz w:val="26"/>
                <w:szCs w:val="26"/>
              </w:rPr>
              <w:t>Annex D</w:t>
            </w:r>
          </w:p>
        </w:tc>
        <w:tc>
          <w:tcPr>
            <w:tcW w:w="4111" w:type="dxa"/>
            <w:shd w:val="clear" w:color="auto" w:fill="auto"/>
            <w:noWrap/>
            <w:hideMark/>
          </w:tcPr>
          <w:p w14:paraId="6B08C030"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(informative) Interpretation of PUE and its derivatives</w:t>
            </w:r>
          </w:p>
        </w:tc>
        <w:tc>
          <w:tcPr>
            <w:tcW w:w="1559" w:type="dxa"/>
          </w:tcPr>
          <w:p w14:paraId="49C1F28A" w14:textId="77777777" w:rsidR="00743720" w:rsidRPr="001118D8" w:rsidRDefault="00743720" w:rsidP="00743720">
            <w:pPr>
              <w:snapToGrid w:val="0"/>
              <w:spacing w:before="120" w:after="120"/>
              <w:jc w:val="center"/>
              <w:rPr>
                <w:rFonts w:ascii="Times New Roman" w:hAnsi="Times New Roman"/>
                <w:color w:val="000000"/>
                <w:sz w:val="26"/>
                <w:szCs w:val="26"/>
              </w:rPr>
            </w:pPr>
            <w:r w:rsidRPr="001118D8">
              <w:rPr>
                <w:rFonts w:ascii="Times New Roman" w:hAnsi="Times New Roman"/>
                <w:color w:val="000000"/>
                <w:sz w:val="26"/>
                <w:szCs w:val="26"/>
              </w:rPr>
              <w:t>Phụ lục D</w:t>
            </w:r>
          </w:p>
        </w:tc>
        <w:tc>
          <w:tcPr>
            <w:tcW w:w="4252" w:type="dxa"/>
          </w:tcPr>
          <w:p w14:paraId="308270C6" w14:textId="7777777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(Tham khảo) Giải thích về PUE và các dẫn xuất</w:t>
            </w:r>
          </w:p>
        </w:tc>
        <w:tc>
          <w:tcPr>
            <w:tcW w:w="3119" w:type="dxa"/>
          </w:tcPr>
          <w:p w14:paraId="172D3133" w14:textId="5BD2F678"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r w:rsidR="00743720" w:rsidRPr="001118D8" w14:paraId="41012D42" w14:textId="77777777" w:rsidTr="00743720">
        <w:trPr>
          <w:trHeight w:val="320"/>
        </w:trPr>
        <w:tc>
          <w:tcPr>
            <w:tcW w:w="1413" w:type="dxa"/>
            <w:shd w:val="clear" w:color="auto" w:fill="auto"/>
            <w:noWrap/>
            <w:hideMark/>
          </w:tcPr>
          <w:p w14:paraId="1939FA39" w14:textId="77777777" w:rsidR="00743720" w:rsidRPr="001118D8" w:rsidRDefault="00743720" w:rsidP="00743720">
            <w:pPr>
              <w:snapToGrid w:val="0"/>
              <w:spacing w:before="120" w:after="120"/>
              <w:jc w:val="both"/>
              <w:rPr>
                <w:rFonts w:ascii="Times New Roman" w:hAnsi="Times New Roman"/>
                <w:color w:val="231F20"/>
                <w:sz w:val="26"/>
                <w:szCs w:val="26"/>
              </w:rPr>
            </w:pPr>
            <w:r w:rsidRPr="001118D8">
              <w:rPr>
                <w:rFonts w:ascii="Times New Roman" w:hAnsi="Times New Roman"/>
                <w:color w:val="231F20"/>
                <w:sz w:val="26"/>
                <w:szCs w:val="26"/>
              </w:rPr>
              <w:t>Bibliography</w:t>
            </w:r>
          </w:p>
        </w:tc>
        <w:tc>
          <w:tcPr>
            <w:tcW w:w="4111" w:type="dxa"/>
            <w:shd w:val="clear" w:color="auto" w:fill="auto"/>
            <w:noWrap/>
            <w:hideMark/>
          </w:tcPr>
          <w:p w14:paraId="60411414" w14:textId="77777777" w:rsidR="00743720" w:rsidRPr="001118D8" w:rsidRDefault="00743720" w:rsidP="00743720">
            <w:pPr>
              <w:snapToGrid w:val="0"/>
              <w:spacing w:before="120" w:after="120"/>
              <w:jc w:val="both"/>
              <w:rPr>
                <w:rFonts w:ascii="Times New Roman" w:hAnsi="Times New Roman"/>
                <w:color w:val="231F20"/>
                <w:sz w:val="26"/>
                <w:szCs w:val="26"/>
              </w:rPr>
            </w:pPr>
          </w:p>
        </w:tc>
        <w:tc>
          <w:tcPr>
            <w:tcW w:w="1559" w:type="dxa"/>
          </w:tcPr>
          <w:p w14:paraId="3BAC2606" w14:textId="0E947D27" w:rsidR="00743720" w:rsidRPr="001118D8" w:rsidRDefault="00743720" w:rsidP="00743720">
            <w:pPr>
              <w:snapToGrid w:val="0"/>
              <w:spacing w:before="120" w:after="120"/>
              <w:jc w:val="both"/>
              <w:rPr>
                <w:rFonts w:ascii="Times New Roman" w:hAnsi="Times New Roman"/>
                <w:color w:val="000000"/>
                <w:sz w:val="26"/>
                <w:szCs w:val="26"/>
              </w:rPr>
            </w:pPr>
            <w:r w:rsidRPr="001118D8">
              <w:rPr>
                <w:rFonts w:ascii="Times New Roman" w:hAnsi="Times New Roman"/>
                <w:color w:val="000000"/>
                <w:sz w:val="26"/>
                <w:szCs w:val="26"/>
              </w:rPr>
              <w:t>Thư mục tài liệu tham khảo</w:t>
            </w:r>
          </w:p>
        </w:tc>
        <w:tc>
          <w:tcPr>
            <w:tcW w:w="4252" w:type="dxa"/>
          </w:tcPr>
          <w:p w14:paraId="563B7717" w14:textId="1CF56E48" w:rsidR="00743720" w:rsidRPr="001118D8" w:rsidRDefault="00743720" w:rsidP="00743720">
            <w:pPr>
              <w:snapToGrid w:val="0"/>
              <w:spacing w:before="120" w:after="120"/>
              <w:jc w:val="both"/>
              <w:rPr>
                <w:rFonts w:ascii="Times New Roman" w:hAnsi="Times New Roman"/>
                <w:color w:val="000000"/>
                <w:sz w:val="26"/>
                <w:szCs w:val="26"/>
              </w:rPr>
            </w:pPr>
          </w:p>
        </w:tc>
        <w:tc>
          <w:tcPr>
            <w:tcW w:w="3119" w:type="dxa"/>
          </w:tcPr>
          <w:p w14:paraId="42548F10" w14:textId="6BC85424" w:rsidR="00743720" w:rsidRPr="001118D8" w:rsidRDefault="00743720" w:rsidP="00743720">
            <w:pPr>
              <w:snapToGrid w:val="0"/>
              <w:spacing w:before="120" w:after="120"/>
              <w:ind w:left="26"/>
              <w:jc w:val="both"/>
              <w:rPr>
                <w:rFonts w:ascii="Times New Roman" w:hAnsi="Times New Roman"/>
                <w:color w:val="000000"/>
                <w:sz w:val="26"/>
                <w:szCs w:val="26"/>
                <w:lang w:val="vi-VN"/>
              </w:rPr>
            </w:pPr>
            <w:r w:rsidRPr="001118D8">
              <w:rPr>
                <w:rFonts w:ascii="Times New Roman" w:hAnsi="Times New Roman"/>
                <w:color w:val="000000"/>
                <w:sz w:val="26"/>
                <w:szCs w:val="26"/>
                <w:lang w:val="vi-VN"/>
              </w:rPr>
              <w:t>Hoàn toàn tương đương</w:t>
            </w:r>
          </w:p>
        </w:tc>
      </w:tr>
    </w:tbl>
    <w:p w14:paraId="3A26E1DB" w14:textId="77777777" w:rsidR="00834670" w:rsidRDefault="00834670" w:rsidP="00834670">
      <w:pPr>
        <w:rPr>
          <w:lang w:val="vi-VN"/>
        </w:rPr>
      </w:pPr>
    </w:p>
    <w:p w14:paraId="3A5F197A" w14:textId="77777777" w:rsidR="00743720" w:rsidRDefault="00743720" w:rsidP="00442E79">
      <w:pPr>
        <w:snapToGrid w:val="0"/>
        <w:spacing w:before="120" w:after="120" w:line="288" w:lineRule="auto"/>
        <w:ind w:firstLine="709"/>
        <w:jc w:val="both"/>
        <w:rPr>
          <w:rFonts w:ascii="Times New Roman" w:hAnsi="Times New Roman"/>
          <w:color w:val="000000"/>
          <w:sz w:val="26"/>
          <w:szCs w:val="26"/>
          <w:lang w:val="vi-VN"/>
        </w:rPr>
        <w:sectPr w:rsidR="00743720" w:rsidSect="00834670">
          <w:pgSz w:w="16840" w:h="11907" w:orient="landscape" w:code="9"/>
          <w:pgMar w:top="1134" w:right="1134" w:bottom="1701" w:left="1134" w:header="567" w:footer="567" w:gutter="0"/>
          <w:cols w:space="720"/>
          <w:docGrid w:linePitch="360"/>
        </w:sectPr>
      </w:pPr>
    </w:p>
    <w:p w14:paraId="3FCF21E8" w14:textId="44661E37" w:rsidR="005D2ABC" w:rsidRPr="00C563BD" w:rsidRDefault="005D28D4" w:rsidP="00C15705">
      <w:pPr>
        <w:pStyle w:val="Heading1"/>
        <w:snapToGrid w:val="0"/>
        <w:spacing w:before="120" w:after="360" w:line="288" w:lineRule="auto"/>
        <w:jc w:val="center"/>
        <w:rPr>
          <w:rFonts w:ascii="Times New Roman" w:hAnsi="Times New Roman"/>
          <w:color w:val="auto"/>
          <w:sz w:val="26"/>
          <w:szCs w:val="26"/>
        </w:rPr>
      </w:pPr>
      <w:bookmarkStart w:id="123" w:name="_Toc458041049"/>
      <w:bookmarkStart w:id="124" w:name="_Toc458630011"/>
      <w:bookmarkStart w:id="125" w:name="_Toc173371036"/>
      <w:r w:rsidRPr="00C563BD">
        <w:rPr>
          <w:rFonts w:ascii="Times New Roman" w:hAnsi="Times New Roman"/>
          <w:color w:val="auto"/>
          <w:sz w:val="26"/>
          <w:szCs w:val="26"/>
        </w:rPr>
        <w:lastRenderedPageBreak/>
        <w:t>TÀI LIỆU THAM KHẢO</w:t>
      </w:r>
      <w:bookmarkEnd w:id="123"/>
      <w:bookmarkEnd w:id="124"/>
      <w:bookmarkEnd w:id="125"/>
    </w:p>
    <w:p w14:paraId="5BD7C253" w14:textId="381D21CD"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30134-1 “Information technology - Data centres - Key performance indicators - Part 1: Overview and general requirements (Công nghệ thông tin - Trung tâm dữ liệu - Các chỉ số chất lượng chính - Phần 1: Tổng quan và các yêu cầu chung)”.</w:t>
      </w:r>
    </w:p>
    <w:p w14:paraId="7F46C7A9" w14:textId="221BF840"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30134-2 “Information technology - Data centres - Key performance indicators - Part 2: Power usage effectiveness (PUE) (Công nghệ thông tin - Trung tâm dữ liệu - Các chỉ số chất lượng chính - Phần 2: Hiệu suất sử dụng điện (PUE))”.</w:t>
      </w:r>
    </w:p>
    <w:p w14:paraId="5966929B" w14:textId="21AC5809"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30134-3 “Information technology - Data centres - Key performance indicators - Part 3: Renewable energy factor (REF) (Công nghệ thông tin - Trung tâm dữ liệu - Các chỉ số chất lượng chính - Phần 3: Hệ số năng lượng tái tạo (REF))”.</w:t>
      </w:r>
    </w:p>
    <w:p w14:paraId="4F133A05" w14:textId="5E0D5134"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30134-4 “Information technology - Data centres - Key performance indicators - Part 4: IT Equipment Energy Efficiency for servers (ITEEsv) (Công nghệ thông tin - Trung tâm dữ liệu - Các chỉ số chất lượng chính - Phần 4: Hiệu quả năng lượng thiết bị IT cho các máy chủ (ITEEsv))”.</w:t>
      </w:r>
    </w:p>
    <w:p w14:paraId="2FA5B95E" w14:textId="66036BB5"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30134-5 “Information technology - Data centres - Key performance indicators - Part 5: IT Equipment Utilization for servers (ITEUsv) (Công nghệ thông tin - Trung tâm dữ liệu - Các chỉ số chất lượng chính - Phần 5: Sử dụng thiết bị IT cho các máy chủ (ITEUsv))”.</w:t>
      </w:r>
    </w:p>
    <w:p w14:paraId="03C5260A" w14:textId="2BC2B76C"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30134-6 “Information technology - Data centres key performance indicators - Part 6: Energy Reuse Factor (ERF) (Công nghệ thông tin - Trung tâm dữ liệu - Các chỉ số chất lượng chính - Phần 6: Hệ số tái sử dụng năng lượng (ERF))”.</w:t>
      </w:r>
    </w:p>
    <w:p w14:paraId="3D510DC6" w14:textId="499CD644"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 xml:space="preserve">ISO/IEC 30134-7 “Information technology - Data centres key performance indicators - Part 7: Cooling efficiency ratio (CER) (Công nghệ thông tin - Trung tâm dữ liệu - Các chỉ số chất lượng chính - Phần 7: Tỷ lệ hiệu suất </w:t>
      </w:r>
      <w:r w:rsidR="00B65C5D">
        <w:rPr>
          <w:rFonts w:ascii="Times New Roman" w:hAnsi="Times New Roman"/>
          <w:sz w:val="26"/>
          <w:szCs w:val="26"/>
        </w:rPr>
        <w:t>làm lạnh</w:t>
      </w:r>
      <w:r w:rsidRPr="00743720">
        <w:rPr>
          <w:rFonts w:ascii="Times New Roman" w:hAnsi="Times New Roman"/>
          <w:sz w:val="26"/>
          <w:szCs w:val="26"/>
        </w:rPr>
        <w:t xml:space="preserve"> (CER))”.</w:t>
      </w:r>
    </w:p>
    <w:p w14:paraId="698A2AFC" w14:textId="6CF29377"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30134-8 “Information technology - Data centres key performance indicators - Part 8: Carbon usage effectiveness (CUE) (Công nghệ thông tin - Trung tâm dữ liệu - Các chỉ số chất lượng chính - Phần 8: Hiệu suất sử dụng Carbon (CUE))”.</w:t>
      </w:r>
    </w:p>
    <w:p w14:paraId="5DF55056" w14:textId="3989F138" w:rsidR="008C6CC2" w:rsidRPr="00C563BD"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30134-9 “Information technology - Data centres key performance indicators - Part 9: Water usage effectiveness (WUE) (Công nghệ thông tin - Trung tâm dữ liệu - Các chỉ số chất lượng chính - Phần 9: Hiệu suất sử dụng nước (WUE))”.</w:t>
      </w:r>
    </w:p>
    <w:sectPr w:rsidR="008C6CC2" w:rsidRPr="00C563BD" w:rsidSect="00743720">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E1273" w14:textId="77777777" w:rsidR="00DD3D34" w:rsidRDefault="00DD3D34" w:rsidP="008F29E3">
      <w:pPr>
        <w:spacing w:after="0" w:line="240" w:lineRule="auto"/>
      </w:pPr>
      <w:r>
        <w:separator/>
      </w:r>
    </w:p>
  </w:endnote>
  <w:endnote w:type="continuationSeparator" w:id="0">
    <w:p w14:paraId="74810E59" w14:textId="77777777" w:rsidR="00DD3D34" w:rsidRDefault="00DD3D34" w:rsidP="008F2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B3AAA" w14:textId="77777777" w:rsidR="00C70365" w:rsidRPr="001C22AE" w:rsidRDefault="00C70365" w:rsidP="00AC62FD">
    <w:pPr>
      <w:pStyle w:val="Footer"/>
      <w:jc w:val="center"/>
      <w:rPr>
        <w:rFonts w:ascii="Times New Roman" w:hAnsi="Times New Roman"/>
        <w:sz w:val="26"/>
        <w:szCs w:val="26"/>
      </w:rPr>
    </w:pPr>
    <w:r w:rsidRPr="001C22AE">
      <w:rPr>
        <w:rFonts w:ascii="Times New Roman" w:hAnsi="Times New Roman"/>
        <w:sz w:val="26"/>
        <w:szCs w:val="26"/>
      </w:rPr>
      <w:fldChar w:fldCharType="begin"/>
    </w:r>
    <w:r w:rsidRPr="001C22AE">
      <w:rPr>
        <w:rFonts w:ascii="Times New Roman" w:hAnsi="Times New Roman"/>
        <w:sz w:val="26"/>
        <w:szCs w:val="26"/>
      </w:rPr>
      <w:instrText xml:space="preserve"> PAGE   \* MERGEFORMAT </w:instrText>
    </w:r>
    <w:r w:rsidRPr="001C22AE">
      <w:rPr>
        <w:rFonts w:ascii="Times New Roman" w:hAnsi="Times New Roman"/>
        <w:sz w:val="26"/>
        <w:szCs w:val="26"/>
      </w:rPr>
      <w:fldChar w:fldCharType="separate"/>
    </w:r>
    <w:r>
      <w:rPr>
        <w:rFonts w:ascii="Times New Roman" w:hAnsi="Times New Roman"/>
        <w:noProof/>
        <w:sz w:val="26"/>
        <w:szCs w:val="26"/>
      </w:rPr>
      <w:t>9</w:t>
    </w:r>
    <w:r w:rsidRPr="001C22AE">
      <w:rPr>
        <w:rFonts w:ascii="Times New Roman" w:hAnsi="Times New Roman"/>
        <w:sz w:val="26"/>
        <w:szCs w:val="26"/>
      </w:rPr>
      <w:fldChar w:fldCharType="end"/>
    </w:r>
  </w:p>
  <w:p w14:paraId="59E65F3A" w14:textId="77777777" w:rsidR="00C70365" w:rsidRDefault="00C70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64D3E" w14:textId="77777777" w:rsidR="00C70365" w:rsidRDefault="00C70365">
    <w:pPr>
      <w:pStyle w:val="Footer"/>
      <w:jc w:val="center"/>
    </w:pPr>
    <w:r w:rsidRPr="00AA0332">
      <w:rPr>
        <w:rFonts w:ascii="Times New Roman" w:hAnsi="Times New Roman"/>
        <w:sz w:val="26"/>
        <w:szCs w:val="26"/>
      </w:rPr>
      <w:fldChar w:fldCharType="begin"/>
    </w:r>
    <w:r w:rsidRPr="00AA0332">
      <w:rPr>
        <w:rFonts w:ascii="Times New Roman" w:hAnsi="Times New Roman"/>
        <w:sz w:val="26"/>
        <w:szCs w:val="26"/>
      </w:rPr>
      <w:instrText xml:space="preserve"> PAGE   \* MERGEFORMAT </w:instrText>
    </w:r>
    <w:r w:rsidRPr="00AA0332">
      <w:rPr>
        <w:rFonts w:ascii="Times New Roman" w:hAnsi="Times New Roman"/>
        <w:sz w:val="26"/>
        <w:szCs w:val="26"/>
      </w:rPr>
      <w:fldChar w:fldCharType="separate"/>
    </w:r>
    <w:r>
      <w:rPr>
        <w:rFonts w:ascii="Times New Roman" w:hAnsi="Times New Roman"/>
        <w:noProof/>
        <w:sz w:val="26"/>
        <w:szCs w:val="26"/>
      </w:rPr>
      <w:t>73</w:t>
    </w:r>
    <w:r w:rsidRPr="00AA0332">
      <w:rPr>
        <w:rFonts w:ascii="Times New Roman" w:hAnsi="Times New Roman"/>
        <w:sz w:val="26"/>
        <w:szCs w:val="26"/>
      </w:rPr>
      <w:fldChar w:fldCharType="end"/>
    </w:r>
  </w:p>
  <w:p w14:paraId="274E289B" w14:textId="77777777" w:rsidR="00C70365" w:rsidRDefault="00C70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A3697" w14:textId="77777777" w:rsidR="00DD3D34" w:rsidRDefault="00DD3D34" w:rsidP="008F29E3">
      <w:pPr>
        <w:spacing w:after="0" w:line="240" w:lineRule="auto"/>
      </w:pPr>
      <w:r>
        <w:separator/>
      </w:r>
    </w:p>
  </w:footnote>
  <w:footnote w:type="continuationSeparator" w:id="0">
    <w:p w14:paraId="013D44E2" w14:textId="77777777" w:rsidR="00DD3D34" w:rsidRDefault="00DD3D34" w:rsidP="008F2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21E4C" w14:textId="77777777" w:rsidR="00C70365" w:rsidRDefault="00C70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428E"/>
    <w:multiLevelType w:val="hybridMultilevel"/>
    <w:tmpl w:val="E5684F9E"/>
    <w:lvl w:ilvl="0" w:tplc="FE12BA6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E513CB"/>
    <w:multiLevelType w:val="hybridMultilevel"/>
    <w:tmpl w:val="98349B5C"/>
    <w:lvl w:ilvl="0" w:tplc="08A858AE">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88D3F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193FC8"/>
    <w:multiLevelType w:val="hybridMultilevel"/>
    <w:tmpl w:val="1426487E"/>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C7D82"/>
    <w:multiLevelType w:val="hybridMultilevel"/>
    <w:tmpl w:val="6236087E"/>
    <w:lvl w:ilvl="0" w:tplc="E2C07A7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BB05FB"/>
    <w:multiLevelType w:val="hybridMultilevel"/>
    <w:tmpl w:val="88C22534"/>
    <w:lvl w:ilvl="0" w:tplc="E2C07A76">
      <w:start w:val="1"/>
      <w:numFmt w:val="bullet"/>
      <w:lvlText w:val=""/>
      <w:lvlJc w:val="left"/>
      <w:pPr>
        <w:ind w:left="720" w:hanging="360"/>
      </w:pPr>
      <w:rPr>
        <w:rFonts w:ascii="Symbol" w:hAnsi="Symbol" w:hint="default"/>
      </w:rPr>
    </w:lvl>
    <w:lvl w:ilvl="1" w:tplc="C3F87938">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06114"/>
    <w:multiLevelType w:val="hybridMultilevel"/>
    <w:tmpl w:val="38AC9A44"/>
    <w:lvl w:ilvl="0" w:tplc="9D847398">
      <w:start w:val="1"/>
      <w:numFmt w:val="lowerLetter"/>
      <w:lvlText w:val="%1)"/>
      <w:lvlJc w:val="left"/>
      <w:pPr>
        <w:ind w:left="720" w:hanging="360"/>
      </w:pPr>
      <w:rPr>
        <w:rFonts w:hint="default"/>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172C9"/>
    <w:multiLevelType w:val="hybridMultilevel"/>
    <w:tmpl w:val="B4A80058"/>
    <w:lvl w:ilvl="0" w:tplc="8FE254DA">
      <w:start w:val="1"/>
      <w:numFmt w:val="bullet"/>
      <w:lvlText w:val="­"/>
      <w:lvlJc w:val="left"/>
      <w:pPr>
        <w:ind w:left="5889"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7CF0"/>
    <w:multiLevelType w:val="multilevel"/>
    <w:tmpl w:val="A0BE011C"/>
    <w:lvl w:ilvl="0">
      <w:start w:val="4"/>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9" w15:restartNumberingAfterBreak="0">
    <w:nsid w:val="1ECF3334"/>
    <w:multiLevelType w:val="hybridMultilevel"/>
    <w:tmpl w:val="2D6AA994"/>
    <w:lvl w:ilvl="0" w:tplc="C3F8793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4B26AC1"/>
    <w:multiLevelType w:val="hybridMultilevel"/>
    <w:tmpl w:val="89CCEAA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2AD7452D"/>
    <w:multiLevelType w:val="hybridMultilevel"/>
    <w:tmpl w:val="44AA8EE2"/>
    <w:lvl w:ilvl="0" w:tplc="E2C07A7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AC0A9C"/>
    <w:multiLevelType w:val="hybridMultilevel"/>
    <w:tmpl w:val="83EC6BF4"/>
    <w:lvl w:ilvl="0" w:tplc="F81E5E5E">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A141C2"/>
    <w:multiLevelType w:val="hybridMultilevel"/>
    <w:tmpl w:val="922ABA14"/>
    <w:lvl w:ilvl="0" w:tplc="0F44E3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CC673F"/>
    <w:multiLevelType w:val="hybridMultilevel"/>
    <w:tmpl w:val="E7066660"/>
    <w:lvl w:ilvl="0" w:tplc="210C20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F01414"/>
    <w:multiLevelType w:val="hybridMultilevel"/>
    <w:tmpl w:val="CA4405D2"/>
    <w:lvl w:ilvl="0" w:tplc="159A0100">
      <w:start w:val="1"/>
      <w:numFmt w:val="bullet"/>
      <w:lvlText w:val=""/>
      <w:lvlJc w:val="left"/>
      <w:pPr>
        <w:ind w:left="1080" w:hanging="360"/>
      </w:pPr>
      <w:rPr>
        <w:rFonts w:ascii="Wingdings" w:hAnsi="Wingdings" w:hint="default"/>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FB2300"/>
    <w:multiLevelType w:val="multilevel"/>
    <w:tmpl w:val="E0DAD0C2"/>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C632ED"/>
    <w:multiLevelType w:val="hybridMultilevel"/>
    <w:tmpl w:val="CE343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CA2C84"/>
    <w:multiLevelType w:val="hybridMultilevel"/>
    <w:tmpl w:val="1C44E016"/>
    <w:lvl w:ilvl="0" w:tplc="A85C4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6D2F22"/>
    <w:multiLevelType w:val="multilevel"/>
    <w:tmpl w:val="CA9C44C4"/>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275453"/>
    <w:multiLevelType w:val="multilevel"/>
    <w:tmpl w:val="C0E6E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10A2F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8017D7"/>
    <w:multiLevelType w:val="hybridMultilevel"/>
    <w:tmpl w:val="30B0250E"/>
    <w:lvl w:ilvl="0" w:tplc="D9C4AFF8">
      <w:start w:val="7"/>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DA7DF6"/>
    <w:multiLevelType w:val="hybridMultilevel"/>
    <w:tmpl w:val="4CC69510"/>
    <w:lvl w:ilvl="0" w:tplc="4E7C6176">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E22E12"/>
    <w:multiLevelType w:val="hybridMultilevel"/>
    <w:tmpl w:val="97C4C1C4"/>
    <w:lvl w:ilvl="0" w:tplc="247E460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E52BF4"/>
    <w:multiLevelType w:val="hybridMultilevel"/>
    <w:tmpl w:val="CE343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2A1FE7"/>
    <w:multiLevelType w:val="hybridMultilevel"/>
    <w:tmpl w:val="9C98F504"/>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E15D05"/>
    <w:multiLevelType w:val="multilevel"/>
    <w:tmpl w:val="AA2622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847342"/>
    <w:multiLevelType w:val="hybridMultilevel"/>
    <w:tmpl w:val="D27A4D40"/>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094BF9"/>
    <w:multiLevelType w:val="hybridMultilevel"/>
    <w:tmpl w:val="9B848398"/>
    <w:lvl w:ilvl="0" w:tplc="07B65188">
      <w:start w:val="1"/>
      <w:numFmt w:val="bullet"/>
      <w:lvlText w:val=""/>
      <w:lvlJc w:val="left"/>
      <w:pPr>
        <w:tabs>
          <w:tab w:val="num" w:pos="720"/>
        </w:tabs>
        <w:ind w:left="720" w:hanging="360"/>
      </w:pPr>
      <w:rPr>
        <w:rFonts w:ascii="Courier New" w:hAnsi="Courier New" w:hint="default"/>
      </w:rPr>
    </w:lvl>
    <w:lvl w:ilvl="1" w:tplc="63A88E4A" w:tentative="1">
      <w:start w:val="1"/>
      <w:numFmt w:val="bullet"/>
      <w:lvlText w:val=""/>
      <w:lvlJc w:val="left"/>
      <w:pPr>
        <w:tabs>
          <w:tab w:val="num" w:pos="1440"/>
        </w:tabs>
        <w:ind w:left="1440" w:hanging="360"/>
      </w:pPr>
      <w:rPr>
        <w:rFonts w:ascii="Courier New" w:hAnsi="Courier New" w:hint="default"/>
      </w:rPr>
    </w:lvl>
    <w:lvl w:ilvl="2" w:tplc="595214A6" w:tentative="1">
      <w:start w:val="1"/>
      <w:numFmt w:val="bullet"/>
      <w:lvlText w:val=""/>
      <w:lvlJc w:val="left"/>
      <w:pPr>
        <w:tabs>
          <w:tab w:val="num" w:pos="2160"/>
        </w:tabs>
        <w:ind w:left="2160" w:hanging="360"/>
      </w:pPr>
      <w:rPr>
        <w:rFonts w:ascii="Courier New" w:hAnsi="Courier New" w:hint="default"/>
      </w:rPr>
    </w:lvl>
    <w:lvl w:ilvl="3" w:tplc="6FB2687C" w:tentative="1">
      <w:start w:val="1"/>
      <w:numFmt w:val="bullet"/>
      <w:lvlText w:val=""/>
      <w:lvlJc w:val="left"/>
      <w:pPr>
        <w:tabs>
          <w:tab w:val="num" w:pos="2880"/>
        </w:tabs>
        <w:ind w:left="2880" w:hanging="360"/>
      </w:pPr>
      <w:rPr>
        <w:rFonts w:ascii="Courier New" w:hAnsi="Courier New" w:hint="default"/>
      </w:rPr>
    </w:lvl>
    <w:lvl w:ilvl="4" w:tplc="C3D443BE" w:tentative="1">
      <w:start w:val="1"/>
      <w:numFmt w:val="bullet"/>
      <w:lvlText w:val=""/>
      <w:lvlJc w:val="left"/>
      <w:pPr>
        <w:tabs>
          <w:tab w:val="num" w:pos="3600"/>
        </w:tabs>
        <w:ind w:left="3600" w:hanging="360"/>
      </w:pPr>
      <w:rPr>
        <w:rFonts w:ascii="Courier New" w:hAnsi="Courier New" w:hint="default"/>
      </w:rPr>
    </w:lvl>
    <w:lvl w:ilvl="5" w:tplc="36745E80" w:tentative="1">
      <w:start w:val="1"/>
      <w:numFmt w:val="bullet"/>
      <w:lvlText w:val=""/>
      <w:lvlJc w:val="left"/>
      <w:pPr>
        <w:tabs>
          <w:tab w:val="num" w:pos="4320"/>
        </w:tabs>
        <w:ind w:left="4320" w:hanging="360"/>
      </w:pPr>
      <w:rPr>
        <w:rFonts w:ascii="Courier New" w:hAnsi="Courier New" w:hint="default"/>
      </w:rPr>
    </w:lvl>
    <w:lvl w:ilvl="6" w:tplc="C0503E04" w:tentative="1">
      <w:start w:val="1"/>
      <w:numFmt w:val="bullet"/>
      <w:lvlText w:val=""/>
      <w:lvlJc w:val="left"/>
      <w:pPr>
        <w:tabs>
          <w:tab w:val="num" w:pos="5040"/>
        </w:tabs>
        <w:ind w:left="5040" w:hanging="360"/>
      </w:pPr>
      <w:rPr>
        <w:rFonts w:ascii="Courier New" w:hAnsi="Courier New" w:hint="default"/>
      </w:rPr>
    </w:lvl>
    <w:lvl w:ilvl="7" w:tplc="78EEE654" w:tentative="1">
      <w:start w:val="1"/>
      <w:numFmt w:val="bullet"/>
      <w:lvlText w:val=""/>
      <w:lvlJc w:val="left"/>
      <w:pPr>
        <w:tabs>
          <w:tab w:val="num" w:pos="5760"/>
        </w:tabs>
        <w:ind w:left="5760" w:hanging="360"/>
      </w:pPr>
      <w:rPr>
        <w:rFonts w:ascii="Courier New" w:hAnsi="Courier New" w:hint="default"/>
      </w:rPr>
    </w:lvl>
    <w:lvl w:ilvl="8" w:tplc="C12AFA2A" w:tentative="1">
      <w:start w:val="1"/>
      <w:numFmt w:val="bullet"/>
      <w:lvlText w:val=""/>
      <w:lvlJc w:val="left"/>
      <w:pPr>
        <w:tabs>
          <w:tab w:val="num" w:pos="6480"/>
        </w:tabs>
        <w:ind w:left="6480" w:hanging="360"/>
      </w:pPr>
      <w:rPr>
        <w:rFonts w:ascii="Courier New" w:hAnsi="Courier New" w:hint="default"/>
      </w:rPr>
    </w:lvl>
  </w:abstractNum>
  <w:num w:numId="1" w16cid:durableId="190266692">
    <w:abstractNumId w:val="21"/>
  </w:num>
  <w:num w:numId="2" w16cid:durableId="1355885909">
    <w:abstractNumId w:val="18"/>
  </w:num>
  <w:num w:numId="3" w16cid:durableId="610551553">
    <w:abstractNumId w:val="26"/>
  </w:num>
  <w:num w:numId="4" w16cid:durableId="1100837310">
    <w:abstractNumId w:val="25"/>
  </w:num>
  <w:num w:numId="5" w16cid:durableId="1928222157">
    <w:abstractNumId w:val="5"/>
  </w:num>
  <w:num w:numId="6" w16cid:durableId="2125810699">
    <w:abstractNumId w:val="12"/>
  </w:num>
  <w:num w:numId="7" w16cid:durableId="811218297">
    <w:abstractNumId w:val="4"/>
  </w:num>
  <w:num w:numId="8" w16cid:durableId="1200162238">
    <w:abstractNumId w:val="6"/>
  </w:num>
  <w:num w:numId="9" w16cid:durableId="1231884430">
    <w:abstractNumId w:val="7"/>
  </w:num>
  <w:num w:numId="10" w16cid:durableId="530650030">
    <w:abstractNumId w:val="19"/>
  </w:num>
  <w:num w:numId="11" w16cid:durableId="292949912">
    <w:abstractNumId w:val="8"/>
  </w:num>
  <w:num w:numId="12" w16cid:durableId="432240499">
    <w:abstractNumId w:val="9"/>
  </w:num>
  <w:num w:numId="13" w16cid:durableId="1572085726">
    <w:abstractNumId w:val="20"/>
  </w:num>
  <w:num w:numId="14" w16cid:durableId="2025007877">
    <w:abstractNumId w:val="28"/>
  </w:num>
  <w:num w:numId="15" w16cid:durableId="1339311413">
    <w:abstractNumId w:val="22"/>
  </w:num>
  <w:num w:numId="16" w16cid:durableId="240334232">
    <w:abstractNumId w:val="2"/>
  </w:num>
  <w:num w:numId="17" w16cid:durableId="1836190059">
    <w:abstractNumId w:val="17"/>
  </w:num>
  <w:num w:numId="18" w16cid:durableId="566958496">
    <w:abstractNumId w:val="10"/>
  </w:num>
  <w:num w:numId="19" w16cid:durableId="991104157">
    <w:abstractNumId w:val="0"/>
  </w:num>
  <w:num w:numId="20" w16cid:durableId="416707720">
    <w:abstractNumId w:val="23"/>
  </w:num>
  <w:num w:numId="21" w16cid:durableId="724253737">
    <w:abstractNumId w:val="3"/>
  </w:num>
  <w:num w:numId="22" w16cid:durableId="705183409">
    <w:abstractNumId w:val="29"/>
  </w:num>
  <w:num w:numId="23" w16cid:durableId="1991514301">
    <w:abstractNumId w:val="16"/>
  </w:num>
  <w:num w:numId="24" w16cid:durableId="922300351">
    <w:abstractNumId w:val="27"/>
  </w:num>
  <w:num w:numId="25" w16cid:durableId="126708676">
    <w:abstractNumId w:val="1"/>
  </w:num>
  <w:num w:numId="26" w16cid:durableId="1553468589">
    <w:abstractNumId w:val="14"/>
  </w:num>
  <w:num w:numId="27" w16cid:durableId="1251040649">
    <w:abstractNumId w:val="15"/>
  </w:num>
  <w:num w:numId="28" w16cid:durableId="706222711">
    <w:abstractNumId w:val="13"/>
  </w:num>
  <w:num w:numId="29" w16cid:durableId="1320307844">
    <w:abstractNumId w:val="11"/>
  </w:num>
  <w:num w:numId="30" w16cid:durableId="1589532910">
    <w:abstractNumId w:val="30"/>
  </w:num>
  <w:num w:numId="31" w16cid:durableId="2033845347">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DA6"/>
    <w:rsid w:val="000019E5"/>
    <w:rsid w:val="000048F2"/>
    <w:rsid w:val="00004A07"/>
    <w:rsid w:val="00005886"/>
    <w:rsid w:val="0000685E"/>
    <w:rsid w:val="000070F7"/>
    <w:rsid w:val="00012EB5"/>
    <w:rsid w:val="00014760"/>
    <w:rsid w:val="00015472"/>
    <w:rsid w:val="000158B1"/>
    <w:rsid w:val="00015F05"/>
    <w:rsid w:val="00015FDB"/>
    <w:rsid w:val="00016955"/>
    <w:rsid w:val="00017E32"/>
    <w:rsid w:val="00017EE4"/>
    <w:rsid w:val="00020D60"/>
    <w:rsid w:val="0002204C"/>
    <w:rsid w:val="000221DF"/>
    <w:rsid w:val="00022CBB"/>
    <w:rsid w:val="000230F5"/>
    <w:rsid w:val="0002547C"/>
    <w:rsid w:val="000259D7"/>
    <w:rsid w:val="0002671B"/>
    <w:rsid w:val="00026C93"/>
    <w:rsid w:val="00026FEF"/>
    <w:rsid w:val="0002714E"/>
    <w:rsid w:val="0002721A"/>
    <w:rsid w:val="00027732"/>
    <w:rsid w:val="0003071C"/>
    <w:rsid w:val="00032188"/>
    <w:rsid w:val="00032A42"/>
    <w:rsid w:val="00033627"/>
    <w:rsid w:val="0003418B"/>
    <w:rsid w:val="00034B12"/>
    <w:rsid w:val="00034F9C"/>
    <w:rsid w:val="0003500A"/>
    <w:rsid w:val="0003608E"/>
    <w:rsid w:val="0003620D"/>
    <w:rsid w:val="0003703E"/>
    <w:rsid w:val="00040137"/>
    <w:rsid w:val="00040921"/>
    <w:rsid w:val="00040B8F"/>
    <w:rsid w:val="000434F7"/>
    <w:rsid w:val="00043836"/>
    <w:rsid w:val="00045A88"/>
    <w:rsid w:val="000463CC"/>
    <w:rsid w:val="00046E87"/>
    <w:rsid w:val="0004707E"/>
    <w:rsid w:val="00047BEC"/>
    <w:rsid w:val="000516DC"/>
    <w:rsid w:val="00051E9A"/>
    <w:rsid w:val="000523BE"/>
    <w:rsid w:val="00052B58"/>
    <w:rsid w:val="0005564D"/>
    <w:rsid w:val="00055989"/>
    <w:rsid w:val="00056CDF"/>
    <w:rsid w:val="00056EFF"/>
    <w:rsid w:val="0006039D"/>
    <w:rsid w:val="000612F1"/>
    <w:rsid w:val="000618B5"/>
    <w:rsid w:val="00061D52"/>
    <w:rsid w:val="00062544"/>
    <w:rsid w:val="00062662"/>
    <w:rsid w:val="000638AB"/>
    <w:rsid w:val="000660AA"/>
    <w:rsid w:val="00066820"/>
    <w:rsid w:val="0006798C"/>
    <w:rsid w:val="00070860"/>
    <w:rsid w:val="00071534"/>
    <w:rsid w:val="00072331"/>
    <w:rsid w:val="00073AAD"/>
    <w:rsid w:val="00074BC4"/>
    <w:rsid w:val="000760C5"/>
    <w:rsid w:val="00076B85"/>
    <w:rsid w:val="00077507"/>
    <w:rsid w:val="00080B9E"/>
    <w:rsid w:val="00081C13"/>
    <w:rsid w:val="0008283E"/>
    <w:rsid w:val="00082926"/>
    <w:rsid w:val="00083436"/>
    <w:rsid w:val="00083A38"/>
    <w:rsid w:val="00083A8D"/>
    <w:rsid w:val="00084BD1"/>
    <w:rsid w:val="00085A99"/>
    <w:rsid w:val="00086495"/>
    <w:rsid w:val="00086695"/>
    <w:rsid w:val="00086E77"/>
    <w:rsid w:val="000878DE"/>
    <w:rsid w:val="000912C2"/>
    <w:rsid w:val="0009143F"/>
    <w:rsid w:val="0009170E"/>
    <w:rsid w:val="00091B17"/>
    <w:rsid w:val="00095ED0"/>
    <w:rsid w:val="00096816"/>
    <w:rsid w:val="000A04D3"/>
    <w:rsid w:val="000A0698"/>
    <w:rsid w:val="000A0D34"/>
    <w:rsid w:val="000A31A2"/>
    <w:rsid w:val="000A4FED"/>
    <w:rsid w:val="000A509B"/>
    <w:rsid w:val="000A5ECF"/>
    <w:rsid w:val="000A62CD"/>
    <w:rsid w:val="000A6664"/>
    <w:rsid w:val="000A6AD8"/>
    <w:rsid w:val="000A774C"/>
    <w:rsid w:val="000A79F0"/>
    <w:rsid w:val="000B01C1"/>
    <w:rsid w:val="000B0850"/>
    <w:rsid w:val="000B0E8D"/>
    <w:rsid w:val="000B1DE8"/>
    <w:rsid w:val="000B1EE6"/>
    <w:rsid w:val="000B2131"/>
    <w:rsid w:val="000B2899"/>
    <w:rsid w:val="000B3307"/>
    <w:rsid w:val="000B4E54"/>
    <w:rsid w:val="000B716D"/>
    <w:rsid w:val="000C09A6"/>
    <w:rsid w:val="000C1D13"/>
    <w:rsid w:val="000C23A5"/>
    <w:rsid w:val="000C26FB"/>
    <w:rsid w:val="000C31FC"/>
    <w:rsid w:val="000C417B"/>
    <w:rsid w:val="000C4411"/>
    <w:rsid w:val="000C4966"/>
    <w:rsid w:val="000C4EBE"/>
    <w:rsid w:val="000C5AB4"/>
    <w:rsid w:val="000C5AEB"/>
    <w:rsid w:val="000C6FFD"/>
    <w:rsid w:val="000C7501"/>
    <w:rsid w:val="000D00BB"/>
    <w:rsid w:val="000D0768"/>
    <w:rsid w:val="000D08AA"/>
    <w:rsid w:val="000D12BC"/>
    <w:rsid w:val="000D3020"/>
    <w:rsid w:val="000D31B1"/>
    <w:rsid w:val="000D31B2"/>
    <w:rsid w:val="000D356F"/>
    <w:rsid w:val="000D41A8"/>
    <w:rsid w:val="000D4A7A"/>
    <w:rsid w:val="000D5C66"/>
    <w:rsid w:val="000D64C1"/>
    <w:rsid w:val="000D79AF"/>
    <w:rsid w:val="000D7B82"/>
    <w:rsid w:val="000E00D0"/>
    <w:rsid w:val="000E01CB"/>
    <w:rsid w:val="000E0241"/>
    <w:rsid w:val="000E10BC"/>
    <w:rsid w:val="000E1685"/>
    <w:rsid w:val="000E176D"/>
    <w:rsid w:val="000E23B8"/>
    <w:rsid w:val="000E25FB"/>
    <w:rsid w:val="000E2E8F"/>
    <w:rsid w:val="000E5ACF"/>
    <w:rsid w:val="000E5B63"/>
    <w:rsid w:val="000E6C9D"/>
    <w:rsid w:val="000E6FBB"/>
    <w:rsid w:val="000F0936"/>
    <w:rsid w:val="000F1445"/>
    <w:rsid w:val="000F1AAC"/>
    <w:rsid w:val="000F1B21"/>
    <w:rsid w:val="000F2169"/>
    <w:rsid w:val="000F3E45"/>
    <w:rsid w:val="000F54FF"/>
    <w:rsid w:val="000F68DA"/>
    <w:rsid w:val="000F7031"/>
    <w:rsid w:val="000F7661"/>
    <w:rsid w:val="001013CA"/>
    <w:rsid w:val="0010284F"/>
    <w:rsid w:val="00102C10"/>
    <w:rsid w:val="00103091"/>
    <w:rsid w:val="00105A59"/>
    <w:rsid w:val="0010632C"/>
    <w:rsid w:val="001064D2"/>
    <w:rsid w:val="00106805"/>
    <w:rsid w:val="00106DCD"/>
    <w:rsid w:val="001075AB"/>
    <w:rsid w:val="001107C4"/>
    <w:rsid w:val="001112A9"/>
    <w:rsid w:val="00111585"/>
    <w:rsid w:val="001118D8"/>
    <w:rsid w:val="00111CEE"/>
    <w:rsid w:val="001121DF"/>
    <w:rsid w:val="00112226"/>
    <w:rsid w:val="00112F75"/>
    <w:rsid w:val="001136A4"/>
    <w:rsid w:val="00114322"/>
    <w:rsid w:val="001147F4"/>
    <w:rsid w:val="00114E10"/>
    <w:rsid w:val="00115A37"/>
    <w:rsid w:val="00116458"/>
    <w:rsid w:val="001209B0"/>
    <w:rsid w:val="001215E7"/>
    <w:rsid w:val="00121A15"/>
    <w:rsid w:val="00123047"/>
    <w:rsid w:val="00123FB5"/>
    <w:rsid w:val="0012509A"/>
    <w:rsid w:val="0012514C"/>
    <w:rsid w:val="00125969"/>
    <w:rsid w:val="00126221"/>
    <w:rsid w:val="001268DE"/>
    <w:rsid w:val="00127536"/>
    <w:rsid w:val="00130747"/>
    <w:rsid w:val="001307C4"/>
    <w:rsid w:val="00131A26"/>
    <w:rsid w:val="00131BBF"/>
    <w:rsid w:val="00131FFA"/>
    <w:rsid w:val="00132F16"/>
    <w:rsid w:val="00133C0E"/>
    <w:rsid w:val="00134464"/>
    <w:rsid w:val="0014009B"/>
    <w:rsid w:val="001405CC"/>
    <w:rsid w:val="00141931"/>
    <w:rsid w:val="00142DA0"/>
    <w:rsid w:val="00142E4C"/>
    <w:rsid w:val="001446C5"/>
    <w:rsid w:val="00146848"/>
    <w:rsid w:val="00146CD8"/>
    <w:rsid w:val="00147102"/>
    <w:rsid w:val="001475FF"/>
    <w:rsid w:val="00150864"/>
    <w:rsid w:val="001509DE"/>
    <w:rsid w:val="00150EA5"/>
    <w:rsid w:val="00150FB7"/>
    <w:rsid w:val="001513DB"/>
    <w:rsid w:val="001514A5"/>
    <w:rsid w:val="00152D04"/>
    <w:rsid w:val="00152E56"/>
    <w:rsid w:val="00153390"/>
    <w:rsid w:val="0015340B"/>
    <w:rsid w:val="001535B6"/>
    <w:rsid w:val="00153D41"/>
    <w:rsid w:val="00155AED"/>
    <w:rsid w:val="00156904"/>
    <w:rsid w:val="00156A9E"/>
    <w:rsid w:val="00156C61"/>
    <w:rsid w:val="00156F6B"/>
    <w:rsid w:val="0015797D"/>
    <w:rsid w:val="00157E6F"/>
    <w:rsid w:val="00161CA0"/>
    <w:rsid w:val="0016232B"/>
    <w:rsid w:val="00162AFE"/>
    <w:rsid w:val="00162E42"/>
    <w:rsid w:val="001640DE"/>
    <w:rsid w:val="0016414A"/>
    <w:rsid w:val="00164B1C"/>
    <w:rsid w:val="00165070"/>
    <w:rsid w:val="00165B1D"/>
    <w:rsid w:val="0016672E"/>
    <w:rsid w:val="00166923"/>
    <w:rsid w:val="001714EF"/>
    <w:rsid w:val="00171DD9"/>
    <w:rsid w:val="00174429"/>
    <w:rsid w:val="00174F9E"/>
    <w:rsid w:val="00175665"/>
    <w:rsid w:val="00175A2C"/>
    <w:rsid w:val="00176357"/>
    <w:rsid w:val="00176776"/>
    <w:rsid w:val="001772EB"/>
    <w:rsid w:val="00181975"/>
    <w:rsid w:val="00182B72"/>
    <w:rsid w:val="0018345D"/>
    <w:rsid w:val="00183F94"/>
    <w:rsid w:val="001847ED"/>
    <w:rsid w:val="00185FFC"/>
    <w:rsid w:val="001861FB"/>
    <w:rsid w:val="0018740C"/>
    <w:rsid w:val="001904BB"/>
    <w:rsid w:val="001911D9"/>
    <w:rsid w:val="001917F8"/>
    <w:rsid w:val="00191D92"/>
    <w:rsid w:val="0019347B"/>
    <w:rsid w:val="001937A5"/>
    <w:rsid w:val="00193BA4"/>
    <w:rsid w:val="00194BCF"/>
    <w:rsid w:val="00194D0B"/>
    <w:rsid w:val="001956EF"/>
    <w:rsid w:val="00196032"/>
    <w:rsid w:val="00196E04"/>
    <w:rsid w:val="00196F50"/>
    <w:rsid w:val="001A1BB1"/>
    <w:rsid w:val="001A2EB0"/>
    <w:rsid w:val="001A47AA"/>
    <w:rsid w:val="001A4984"/>
    <w:rsid w:val="001A543F"/>
    <w:rsid w:val="001A548C"/>
    <w:rsid w:val="001A7092"/>
    <w:rsid w:val="001A7EE9"/>
    <w:rsid w:val="001B3590"/>
    <w:rsid w:val="001B4121"/>
    <w:rsid w:val="001B4981"/>
    <w:rsid w:val="001B49E5"/>
    <w:rsid w:val="001B4C35"/>
    <w:rsid w:val="001B5DD8"/>
    <w:rsid w:val="001B6653"/>
    <w:rsid w:val="001B7BB1"/>
    <w:rsid w:val="001C00D0"/>
    <w:rsid w:val="001C0518"/>
    <w:rsid w:val="001C122E"/>
    <w:rsid w:val="001C1DA4"/>
    <w:rsid w:val="001C22AE"/>
    <w:rsid w:val="001C2A19"/>
    <w:rsid w:val="001C2BEB"/>
    <w:rsid w:val="001C322C"/>
    <w:rsid w:val="001C3440"/>
    <w:rsid w:val="001C3CF0"/>
    <w:rsid w:val="001C3EB1"/>
    <w:rsid w:val="001C4AF5"/>
    <w:rsid w:val="001C5A85"/>
    <w:rsid w:val="001C5EEF"/>
    <w:rsid w:val="001C6DFB"/>
    <w:rsid w:val="001C7461"/>
    <w:rsid w:val="001C7855"/>
    <w:rsid w:val="001D0093"/>
    <w:rsid w:val="001D0D1E"/>
    <w:rsid w:val="001D1FAE"/>
    <w:rsid w:val="001D2A4E"/>
    <w:rsid w:val="001D37F2"/>
    <w:rsid w:val="001D5748"/>
    <w:rsid w:val="001D5945"/>
    <w:rsid w:val="001D5BFB"/>
    <w:rsid w:val="001D6530"/>
    <w:rsid w:val="001E0172"/>
    <w:rsid w:val="001E130A"/>
    <w:rsid w:val="001E18C3"/>
    <w:rsid w:val="001E1C52"/>
    <w:rsid w:val="001E24E4"/>
    <w:rsid w:val="001E2662"/>
    <w:rsid w:val="001E2769"/>
    <w:rsid w:val="001E27AB"/>
    <w:rsid w:val="001E28F8"/>
    <w:rsid w:val="001E389D"/>
    <w:rsid w:val="001E4697"/>
    <w:rsid w:val="001E4DE6"/>
    <w:rsid w:val="001E5752"/>
    <w:rsid w:val="001E5E42"/>
    <w:rsid w:val="001E61E0"/>
    <w:rsid w:val="001E6B3F"/>
    <w:rsid w:val="001E7D12"/>
    <w:rsid w:val="001E7EF3"/>
    <w:rsid w:val="001F0593"/>
    <w:rsid w:val="001F085E"/>
    <w:rsid w:val="001F0B17"/>
    <w:rsid w:val="001F2552"/>
    <w:rsid w:val="001F3016"/>
    <w:rsid w:val="001F4C3B"/>
    <w:rsid w:val="001F6561"/>
    <w:rsid w:val="001F6FBA"/>
    <w:rsid w:val="001F7829"/>
    <w:rsid w:val="001F7D7F"/>
    <w:rsid w:val="00200FA0"/>
    <w:rsid w:val="00201B00"/>
    <w:rsid w:val="00203485"/>
    <w:rsid w:val="002040DC"/>
    <w:rsid w:val="00204145"/>
    <w:rsid w:val="00204B99"/>
    <w:rsid w:val="00204F4F"/>
    <w:rsid w:val="002068DD"/>
    <w:rsid w:val="00206C6B"/>
    <w:rsid w:val="002100AE"/>
    <w:rsid w:val="002106CA"/>
    <w:rsid w:val="0021070F"/>
    <w:rsid w:val="002109C8"/>
    <w:rsid w:val="00211B9C"/>
    <w:rsid w:val="00211E73"/>
    <w:rsid w:val="00212680"/>
    <w:rsid w:val="002129DC"/>
    <w:rsid w:val="002130D6"/>
    <w:rsid w:val="00214758"/>
    <w:rsid w:val="0021589C"/>
    <w:rsid w:val="0021682B"/>
    <w:rsid w:val="00220374"/>
    <w:rsid w:val="00223199"/>
    <w:rsid w:val="002245BC"/>
    <w:rsid w:val="00226BD0"/>
    <w:rsid w:val="00226F87"/>
    <w:rsid w:val="002277EC"/>
    <w:rsid w:val="00231815"/>
    <w:rsid w:val="0023220D"/>
    <w:rsid w:val="002337F9"/>
    <w:rsid w:val="00234FED"/>
    <w:rsid w:val="00236C19"/>
    <w:rsid w:val="00237779"/>
    <w:rsid w:val="0024023E"/>
    <w:rsid w:val="002403A4"/>
    <w:rsid w:val="0024174C"/>
    <w:rsid w:val="00241A2D"/>
    <w:rsid w:val="002432B4"/>
    <w:rsid w:val="00243A4F"/>
    <w:rsid w:val="00244364"/>
    <w:rsid w:val="00244839"/>
    <w:rsid w:val="002455A3"/>
    <w:rsid w:val="00245784"/>
    <w:rsid w:val="00245F16"/>
    <w:rsid w:val="0024652B"/>
    <w:rsid w:val="00252676"/>
    <w:rsid w:val="00252CFE"/>
    <w:rsid w:val="00253787"/>
    <w:rsid w:val="00253A18"/>
    <w:rsid w:val="00254751"/>
    <w:rsid w:val="00255B3E"/>
    <w:rsid w:val="00255D1A"/>
    <w:rsid w:val="0025659D"/>
    <w:rsid w:val="00260AEF"/>
    <w:rsid w:val="00260E67"/>
    <w:rsid w:val="002619C9"/>
    <w:rsid w:val="00261B1D"/>
    <w:rsid w:val="002626C2"/>
    <w:rsid w:val="002643E8"/>
    <w:rsid w:val="00264444"/>
    <w:rsid w:val="002657B7"/>
    <w:rsid w:val="0027079F"/>
    <w:rsid w:val="002713BC"/>
    <w:rsid w:val="00272C9E"/>
    <w:rsid w:val="0027344B"/>
    <w:rsid w:val="00277806"/>
    <w:rsid w:val="00280053"/>
    <w:rsid w:val="00281801"/>
    <w:rsid w:val="00281D4D"/>
    <w:rsid w:val="00281D9A"/>
    <w:rsid w:val="00282A98"/>
    <w:rsid w:val="00283539"/>
    <w:rsid w:val="00283FDA"/>
    <w:rsid w:val="00284CE8"/>
    <w:rsid w:val="0028563C"/>
    <w:rsid w:val="00285B79"/>
    <w:rsid w:val="00285C6F"/>
    <w:rsid w:val="00286DC6"/>
    <w:rsid w:val="00291069"/>
    <w:rsid w:val="002933C3"/>
    <w:rsid w:val="00293D4C"/>
    <w:rsid w:val="00295CB6"/>
    <w:rsid w:val="0029672E"/>
    <w:rsid w:val="002972A3"/>
    <w:rsid w:val="00297555"/>
    <w:rsid w:val="002A103D"/>
    <w:rsid w:val="002A27B9"/>
    <w:rsid w:val="002A38BF"/>
    <w:rsid w:val="002A3F5D"/>
    <w:rsid w:val="002A4636"/>
    <w:rsid w:val="002A4732"/>
    <w:rsid w:val="002A4E33"/>
    <w:rsid w:val="002A6309"/>
    <w:rsid w:val="002A6983"/>
    <w:rsid w:val="002B058E"/>
    <w:rsid w:val="002B0EA6"/>
    <w:rsid w:val="002B14C9"/>
    <w:rsid w:val="002B1913"/>
    <w:rsid w:val="002B28BB"/>
    <w:rsid w:val="002B2B94"/>
    <w:rsid w:val="002B2C97"/>
    <w:rsid w:val="002B35DF"/>
    <w:rsid w:val="002B39B3"/>
    <w:rsid w:val="002B4373"/>
    <w:rsid w:val="002B4BA3"/>
    <w:rsid w:val="002B5A5E"/>
    <w:rsid w:val="002B60BB"/>
    <w:rsid w:val="002C01E4"/>
    <w:rsid w:val="002C0C2C"/>
    <w:rsid w:val="002C0FCE"/>
    <w:rsid w:val="002C1CAF"/>
    <w:rsid w:val="002C290B"/>
    <w:rsid w:val="002C3544"/>
    <w:rsid w:val="002C44A5"/>
    <w:rsid w:val="002C5182"/>
    <w:rsid w:val="002C7CD4"/>
    <w:rsid w:val="002D0D1D"/>
    <w:rsid w:val="002D2566"/>
    <w:rsid w:val="002D2A2F"/>
    <w:rsid w:val="002D2D3F"/>
    <w:rsid w:val="002D3F70"/>
    <w:rsid w:val="002D4306"/>
    <w:rsid w:val="002D4601"/>
    <w:rsid w:val="002D6256"/>
    <w:rsid w:val="002D65A5"/>
    <w:rsid w:val="002D7FCB"/>
    <w:rsid w:val="002E0A5E"/>
    <w:rsid w:val="002E0F0C"/>
    <w:rsid w:val="002E1658"/>
    <w:rsid w:val="002E18C3"/>
    <w:rsid w:val="002E3594"/>
    <w:rsid w:val="002E3776"/>
    <w:rsid w:val="002E5AFE"/>
    <w:rsid w:val="002E5BCB"/>
    <w:rsid w:val="002E5D86"/>
    <w:rsid w:val="002F097E"/>
    <w:rsid w:val="002F142A"/>
    <w:rsid w:val="002F320B"/>
    <w:rsid w:val="002F3652"/>
    <w:rsid w:val="002F3FAB"/>
    <w:rsid w:val="002F4273"/>
    <w:rsid w:val="002F451A"/>
    <w:rsid w:val="002F682B"/>
    <w:rsid w:val="002F6EB2"/>
    <w:rsid w:val="002F79FB"/>
    <w:rsid w:val="00301FBC"/>
    <w:rsid w:val="0030210C"/>
    <w:rsid w:val="00302CAE"/>
    <w:rsid w:val="00303075"/>
    <w:rsid w:val="00303135"/>
    <w:rsid w:val="00303357"/>
    <w:rsid w:val="0030494B"/>
    <w:rsid w:val="003062D6"/>
    <w:rsid w:val="003071F5"/>
    <w:rsid w:val="003073FE"/>
    <w:rsid w:val="00311996"/>
    <w:rsid w:val="00313F18"/>
    <w:rsid w:val="00314043"/>
    <w:rsid w:val="0031464E"/>
    <w:rsid w:val="00314985"/>
    <w:rsid w:val="00314D97"/>
    <w:rsid w:val="00314DD6"/>
    <w:rsid w:val="00314E11"/>
    <w:rsid w:val="00315547"/>
    <w:rsid w:val="003158C0"/>
    <w:rsid w:val="00315AEB"/>
    <w:rsid w:val="0031696E"/>
    <w:rsid w:val="0031758F"/>
    <w:rsid w:val="003177E3"/>
    <w:rsid w:val="00317EC8"/>
    <w:rsid w:val="003208A4"/>
    <w:rsid w:val="00321DFB"/>
    <w:rsid w:val="00322071"/>
    <w:rsid w:val="00323170"/>
    <w:rsid w:val="00323620"/>
    <w:rsid w:val="0032390C"/>
    <w:rsid w:val="00323F96"/>
    <w:rsid w:val="003244BC"/>
    <w:rsid w:val="003254F4"/>
    <w:rsid w:val="00325C8B"/>
    <w:rsid w:val="003268B5"/>
    <w:rsid w:val="00326B16"/>
    <w:rsid w:val="00327321"/>
    <w:rsid w:val="00330DA2"/>
    <w:rsid w:val="00331230"/>
    <w:rsid w:val="00331601"/>
    <w:rsid w:val="00331CC7"/>
    <w:rsid w:val="00332FF5"/>
    <w:rsid w:val="003341F5"/>
    <w:rsid w:val="00334B22"/>
    <w:rsid w:val="0033690A"/>
    <w:rsid w:val="00337893"/>
    <w:rsid w:val="00337BE9"/>
    <w:rsid w:val="00337F16"/>
    <w:rsid w:val="00340B75"/>
    <w:rsid w:val="00340D12"/>
    <w:rsid w:val="003412E4"/>
    <w:rsid w:val="00341702"/>
    <w:rsid w:val="003419DC"/>
    <w:rsid w:val="00341B0B"/>
    <w:rsid w:val="00341FBC"/>
    <w:rsid w:val="0034323E"/>
    <w:rsid w:val="00343C52"/>
    <w:rsid w:val="00343CFB"/>
    <w:rsid w:val="00344CFF"/>
    <w:rsid w:val="003461A5"/>
    <w:rsid w:val="00346704"/>
    <w:rsid w:val="00347A87"/>
    <w:rsid w:val="003500F1"/>
    <w:rsid w:val="0035016D"/>
    <w:rsid w:val="00350338"/>
    <w:rsid w:val="003513B6"/>
    <w:rsid w:val="003515B4"/>
    <w:rsid w:val="0035185C"/>
    <w:rsid w:val="00352084"/>
    <w:rsid w:val="003520D9"/>
    <w:rsid w:val="00352302"/>
    <w:rsid w:val="00353288"/>
    <w:rsid w:val="00353939"/>
    <w:rsid w:val="0035462C"/>
    <w:rsid w:val="00354840"/>
    <w:rsid w:val="00355F10"/>
    <w:rsid w:val="00356548"/>
    <w:rsid w:val="00357C95"/>
    <w:rsid w:val="00357D32"/>
    <w:rsid w:val="003605AC"/>
    <w:rsid w:val="00361EF8"/>
    <w:rsid w:val="00362DE2"/>
    <w:rsid w:val="00364463"/>
    <w:rsid w:val="00364FE3"/>
    <w:rsid w:val="00365FFA"/>
    <w:rsid w:val="00366B89"/>
    <w:rsid w:val="003701CB"/>
    <w:rsid w:val="0037052A"/>
    <w:rsid w:val="003707BB"/>
    <w:rsid w:val="003713F6"/>
    <w:rsid w:val="00372115"/>
    <w:rsid w:val="00372DCE"/>
    <w:rsid w:val="003742E0"/>
    <w:rsid w:val="00375313"/>
    <w:rsid w:val="00375828"/>
    <w:rsid w:val="00376424"/>
    <w:rsid w:val="00377E07"/>
    <w:rsid w:val="0038190C"/>
    <w:rsid w:val="00382731"/>
    <w:rsid w:val="00383186"/>
    <w:rsid w:val="003842D5"/>
    <w:rsid w:val="00384563"/>
    <w:rsid w:val="003848DB"/>
    <w:rsid w:val="00385165"/>
    <w:rsid w:val="00387217"/>
    <w:rsid w:val="003875C9"/>
    <w:rsid w:val="0038763C"/>
    <w:rsid w:val="00387D14"/>
    <w:rsid w:val="00390DF7"/>
    <w:rsid w:val="00390F8F"/>
    <w:rsid w:val="00391A0A"/>
    <w:rsid w:val="00391F36"/>
    <w:rsid w:val="00392552"/>
    <w:rsid w:val="00394CB9"/>
    <w:rsid w:val="0039586A"/>
    <w:rsid w:val="003958BD"/>
    <w:rsid w:val="00396718"/>
    <w:rsid w:val="00397B85"/>
    <w:rsid w:val="003A0ECB"/>
    <w:rsid w:val="003A2435"/>
    <w:rsid w:val="003A2CE7"/>
    <w:rsid w:val="003A2E37"/>
    <w:rsid w:val="003A4A1C"/>
    <w:rsid w:val="003A4A25"/>
    <w:rsid w:val="003A5751"/>
    <w:rsid w:val="003A57D2"/>
    <w:rsid w:val="003A5C81"/>
    <w:rsid w:val="003A5E96"/>
    <w:rsid w:val="003A642E"/>
    <w:rsid w:val="003A7A6D"/>
    <w:rsid w:val="003B06E5"/>
    <w:rsid w:val="003B27AB"/>
    <w:rsid w:val="003B41AF"/>
    <w:rsid w:val="003B47BF"/>
    <w:rsid w:val="003B649A"/>
    <w:rsid w:val="003B65DC"/>
    <w:rsid w:val="003B676A"/>
    <w:rsid w:val="003C5057"/>
    <w:rsid w:val="003C623F"/>
    <w:rsid w:val="003C664C"/>
    <w:rsid w:val="003C6757"/>
    <w:rsid w:val="003C67B5"/>
    <w:rsid w:val="003D13BB"/>
    <w:rsid w:val="003D1786"/>
    <w:rsid w:val="003D19ED"/>
    <w:rsid w:val="003D1E93"/>
    <w:rsid w:val="003D2DE0"/>
    <w:rsid w:val="003D60FC"/>
    <w:rsid w:val="003D622D"/>
    <w:rsid w:val="003D6815"/>
    <w:rsid w:val="003D6DE3"/>
    <w:rsid w:val="003D6F69"/>
    <w:rsid w:val="003E0528"/>
    <w:rsid w:val="003E0FA9"/>
    <w:rsid w:val="003E1E03"/>
    <w:rsid w:val="003E204A"/>
    <w:rsid w:val="003E21B0"/>
    <w:rsid w:val="003E258A"/>
    <w:rsid w:val="003E27D3"/>
    <w:rsid w:val="003E2851"/>
    <w:rsid w:val="003E3E3B"/>
    <w:rsid w:val="003E4672"/>
    <w:rsid w:val="003E47D6"/>
    <w:rsid w:val="003E5748"/>
    <w:rsid w:val="003E5CA9"/>
    <w:rsid w:val="003E64EC"/>
    <w:rsid w:val="003E6F82"/>
    <w:rsid w:val="003E71C2"/>
    <w:rsid w:val="003F0118"/>
    <w:rsid w:val="003F08D4"/>
    <w:rsid w:val="003F1017"/>
    <w:rsid w:val="003F1D81"/>
    <w:rsid w:val="003F2531"/>
    <w:rsid w:val="003F35CB"/>
    <w:rsid w:val="003F55D7"/>
    <w:rsid w:val="003F748C"/>
    <w:rsid w:val="00400333"/>
    <w:rsid w:val="0040080D"/>
    <w:rsid w:val="00400BD5"/>
    <w:rsid w:val="00401F7B"/>
    <w:rsid w:val="00402B64"/>
    <w:rsid w:val="00403FAE"/>
    <w:rsid w:val="00404216"/>
    <w:rsid w:val="00404408"/>
    <w:rsid w:val="00404D39"/>
    <w:rsid w:val="00404EDF"/>
    <w:rsid w:val="00404F54"/>
    <w:rsid w:val="00405339"/>
    <w:rsid w:val="0040581A"/>
    <w:rsid w:val="0040632C"/>
    <w:rsid w:val="00406985"/>
    <w:rsid w:val="004077E1"/>
    <w:rsid w:val="00413150"/>
    <w:rsid w:val="00413D8C"/>
    <w:rsid w:val="00413ED7"/>
    <w:rsid w:val="004145C9"/>
    <w:rsid w:val="0041502C"/>
    <w:rsid w:val="004161AA"/>
    <w:rsid w:val="0042002E"/>
    <w:rsid w:val="004218C5"/>
    <w:rsid w:val="004224B5"/>
    <w:rsid w:val="00424B7A"/>
    <w:rsid w:val="00426E13"/>
    <w:rsid w:val="0042717F"/>
    <w:rsid w:val="00427845"/>
    <w:rsid w:val="00430E45"/>
    <w:rsid w:val="004312D3"/>
    <w:rsid w:val="00431E7A"/>
    <w:rsid w:val="004323B1"/>
    <w:rsid w:val="004336F5"/>
    <w:rsid w:val="00434E7E"/>
    <w:rsid w:val="00436494"/>
    <w:rsid w:val="00436670"/>
    <w:rsid w:val="004369E7"/>
    <w:rsid w:val="00436ADF"/>
    <w:rsid w:val="00436CCC"/>
    <w:rsid w:val="00436E14"/>
    <w:rsid w:val="004378B2"/>
    <w:rsid w:val="00441300"/>
    <w:rsid w:val="0044170E"/>
    <w:rsid w:val="00441B94"/>
    <w:rsid w:val="00441DFD"/>
    <w:rsid w:val="004420D9"/>
    <w:rsid w:val="00442E79"/>
    <w:rsid w:val="00443098"/>
    <w:rsid w:val="0044327D"/>
    <w:rsid w:val="00444BF4"/>
    <w:rsid w:val="0044513E"/>
    <w:rsid w:val="00446314"/>
    <w:rsid w:val="00447698"/>
    <w:rsid w:val="00450391"/>
    <w:rsid w:val="00451545"/>
    <w:rsid w:val="00451953"/>
    <w:rsid w:val="00451B03"/>
    <w:rsid w:val="004522BD"/>
    <w:rsid w:val="0045381A"/>
    <w:rsid w:val="00453826"/>
    <w:rsid w:val="00455527"/>
    <w:rsid w:val="0045580F"/>
    <w:rsid w:val="00456777"/>
    <w:rsid w:val="00456A75"/>
    <w:rsid w:val="00457B8D"/>
    <w:rsid w:val="0046095B"/>
    <w:rsid w:val="004610BC"/>
    <w:rsid w:val="00462C4B"/>
    <w:rsid w:val="00463E5C"/>
    <w:rsid w:val="0046405B"/>
    <w:rsid w:val="00465B47"/>
    <w:rsid w:val="00465D94"/>
    <w:rsid w:val="0046633D"/>
    <w:rsid w:val="004664C9"/>
    <w:rsid w:val="00466F55"/>
    <w:rsid w:val="004678FE"/>
    <w:rsid w:val="004701F2"/>
    <w:rsid w:val="004706BC"/>
    <w:rsid w:val="00470A3D"/>
    <w:rsid w:val="00470A3E"/>
    <w:rsid w:val="00471663"/>
    <w:rsid w:val="00471ED4"/>
    <w:rsid w:val="004727B3"/>
    <w:rsid w:val="00473F90"/>
    <w:rsid w:val="004740B4"/>
    <w:rsid w:val="00474200"/>
    <w:rsid w:val="0047467B"/>
    <w:rsid w:val="0047673D"/>
    <w:rsid w:val="00476B2C"/>
    <w:rsid w:val="00476B4C"/>
    <w:rsid w:val="00477587"/>
    <w:rsid w:val="004775C5"/>
    <w:rsid w:val="004805E7"/>
    <w:rsid w:val="00481F59"/>
    <w:rsid w:val="00482155"/>
    <w:rsid w:val="00483454"/>
    <w:rsid w:val="00484987"/>
    <w:rsid w:val="004855F2"/>
    <w:rsid w:val="0048593C"/>
    <w:rsid w:val="00487118"/>
    <w:rsid w:val="00490D06"/>
    <w:rsid w:val="0049202B"/>
    <w:rsid w:val="0049254F"/>
    <w:rsid w:val="00492980"/>
    <w:rsid w:val="00493704"/>
    <w:rsid w:val="00493B5E"/>
    <w:rsid w:val="00494A9D"/>
    <w:rsid w:val="00495B76"/>
    <w:rsid w:val="00496D74"/>
    <w:rsid w:val="00497340"/>
    <w:rsid w:val="00497341"/>
    <w:rsid w:val="004978C5"/>
    <w:rsid w:val="004A20A4"/>
    <w:rsid w:val="004A307A"/>
    <w:rsid w:val="004A3B84"/>
    <w:rsid w:val="004A53FB"/>
    <w:rsid w:val="004A6329"/>
    <w:rsid w:val="004A7049"/>
    <w:rsid w:val="004A72CF"/>
    <w:rsid w:val="004B019F"/>
    <w:rsid w:val="004B1B7F"/>
    <w:rsid w:val="004B1C19"/>
    <w:rsid w:val="004B3612"/>
    <w:rsid w:val="004B398D"/>
    <w:rsid w:val="004B412C"/>
    <w:rsid w:val="004B5AB4"/>
    <w:rsid w:val="004B65FC"/>
    <w:rsid w:val="004B73B7"/>
    <w:rsid w:val="004C03F2"/>
    <w:rsid w:val="004C1077"/>
    <w:rsid w:val="004C13BE"/>
    <w:rsid w:val="004C1720"/>
    <w:rsid w:val="004C1844"/>
    <w:rsid w:val="004C18AF"/>
    <w:rsid w:val="004C2748"/>
    <w:rsid w:val="004C2CDF"/>
    <w:rsid w:val="004C30E0"/>
    <w:rsid w:val="004C3A3B"/>
    <w:rsid w:val="004C4543"/>
    <w:rsid w:val="004C4A99"/>
    <w:rsid w:val="004C4E90"/>
    <w:rsid w:val="004C53E4"/>
    <w:rsid w:val="004C62BE"/>
    <w:rsid w:val="004C6E9E"/>
    <w:rsid w:val="004D1F02"/>
    <w:rsid w:val="004D4914"/>
    <w:rsid w:val="004D50E0"/>
    <w:rsid w:val="004D58F4"/>
    <w:rsid w:val="004D60EA"/>
    <w:rsid w:val="004D60F3"/>
    <w:rsid w:val="004D73A9"/>
    <w:rsid w:val="004E0A4F"/>
    <w:rsid w:val="004E0AD4"/>
    <w:rsid w:val="004E123F"/>
    <w:rsid w:val="004E12A4"/>
    <w:rsid w:val="004E31B8"/>
    <w:rsid w:val="004E3701"/>
    <w:rsid w:val="004E3AE9"/>
    <w:rsid w:val="004E4DF3"/>
    <w:rsid w:val="004E559B"/>
    <w:rsid w:val="004E5882"/>
    <w:rsid w:val="004E6D0E"/>
    <w:rsid w:val="004F183F"/>
    <w:rsid w:val="004F23FE"/>
    <w:rsid w:val="004F6788"/>
    <w:rsid w:val="004F70A8"/>
    <w:rsid w:val="004F713F"/>
    <w:rsid w:val="0050017C"/>
    <w:rsid w:val="005008BD"/>
    <w:rsid w:val="005008E3"/>
    <w:rsid w:val="005024F4"/>
    <w:rsid w:val="00502B7E"/>
    <w:rsid w:val="00503677"/>
    <w:rsid w:val="00503E10"/>
    <w:rsid w:val="005046FF"/>
    <w:rsid w:val="0050689F"/>
    <w:rsid w:val="00506DB0"/>
    <w:rsid w:val="0051028B"/>
    <w:rsid w:val="00510E9E"/>
    <w:rsid w:val="005118E6"/>
    <w:rsid w:val="00511DC4"/>
    <w:rsid w:val="005130B4"/>
    <w:rsid w:val="00513C0A"/>
    <w:rsid w:val="00514021"/>
    <w:rsid w:val="005147CD"/>
    <w:rsid w:val="00514D50"/>
    <w:rsid w:val="005165A8"/>
    <w:rsid w:val="00516625"/>
    <w:rsid w:val="00516F2E"/>
    <w:rsid w:val="00520737"/>
    <w:rsid w:val="00520D22"/>
    <w:rsid w:val="00522512"/>
    <w:rsid w:val="0052330C"/>
    <w:rsid w:val="00523941"/>
    <w:rsid w:val="005245C1"/>
    <w:rsid w:val="00524744"/>
    <w:rsid w:val="0052482E"/>
    <w:rsid w:val="00525777"/>
    <w:rsid w:val="0052577C"/>
    <w:rsid w:val="00525DBE"/>
    <w:rsid w:val="00526C98"/>
    <w:rsid w:val="00526FF0"/>
    <w:rsid w:val="00527AE9"/>
    <w:rsid w:val="00531D60"/>
    <w:rsid w:val="005331AE"/>
    <w:rsid w:val="00533271"/>
    <w:rsid w:val="00533C49"/>
    <w:rsid w:val="005348AB"/>
    <w:rsid w:val="00534D8E"/>
    <w:rsid w:val="00536059"/>
    <w:rsid w:val="00536270"/>
    <w:rsid w:val="0054097D"/>
    <w:rsid w:val="005418F7"/>
    <w:rsid w:val="005423D8"/>
    <w:rsid w:val="005429D3"/>
    <w:rsid w:val="00544A99"/>
    <w:rsid w:val="005455A0"/>
    <w:rsid w:val="00547827"/>
    <w:rsid w:val="00550335"/>
    <w:rsid w:val="00551591"/>
    <w:rsid w:val="00551856"/>
    <w:rsid w:val="00551C8F"/>
    <w:rsid w:val="00551E97"/>
    <w:rsid w:val="00553AEA"/>
    <w:rsid w:val="00553B9D"/>
    <w:rsid w:val="00553FA3"/>
    <w:rsid w:val="005547B2"/>
    <w:rsid w:val="00554EE5"/>
    <w:rsid w:val="005557EE"/>
    <w:rsid w:val="00555C30"/>
    <w:rsid w:val="00556D23"/>
    <w:rsid w:val="00557B0E"/>
    <w:rsid w:val="00557F08"/>
    <w:rsid w:val="00560A19"/>
    <w:rsid w:val="00560E72"/>
    <w:rsid w:val="005612B7"/>
    <w:rsid w:val="005624F0"/>
    <w:rsid w:val="00562AE8"/>
    <w:rsid w:val="00565FA9"/>
    <w:rsid w:val="00570CF4"/>
    <w:rsid w:val="00571196"/>
    <w:rsid w:val="00571274"/>
    <w:rsid w:val="00572AD9"/>
    <w:rsid w:val="00574262"/>
    <w:rsid w:val="00574552"/>
    <w:rsid w:val="00574E5E"/>
    <w:rsid w:val="0057603E"/>
    <w:rsid w:val="005761BE"/>
    <w:rsid w:val="00577BD8"/>
    <w:rsid w:val="00577E82"/>
    <w:rsid w:val="005802B0"/>
    <w:rsid w:val="0058165F"/>
    <w:rsid w:val="005818E8"/>
    <w:rsid w:val="005828D8"/>
    <w:rsid w:val="005838C6"/>
    <w:rsid w:val="005840B7"/>
    <w:rsid w:val="00585B56"/>
    <w:rsid w:val="00586310"/>
    <w:rsid w:val="00586B7C"/>
    <w:rsid w:val="005877D0"/>
    <w:rsid w:val="0058799A"/>
    <w:rsid w:val="00590708"/>
    <w:rsid w:val="005926D5"/>
    <w:rsid w:val="0059409D"/>
    <w:rsid w:val="005948EA"/>
    <w:rsid w:val="0059564E"/>
    <w:rsid w:val="00596483"/>
    <w:rsid w:val="00597C98"/>
    <w:rsid w:val="00597DC5"/>
    <w:rsid w:val="00597E1F"/>
    <w:rsid w:val="005A19FA"/>
    <w:rsid w:val="005A1BAA"/>
    <w:rsid w:val="005A2D7C"/>
    <w:rsid w:val="005A2E14"/>
    <w:rsid w:val="005A37B4"/>
    <w:rsid w:val="005A3A2D"/>
    <w:rsid w:val="005A5DAC"/>
    <w:rsid w:val="005A71C0"/>
    <w:rsid w:val="005A71D6"/>
    <w:rsid w:val="005B0E1F"/>
    <w:rsid w:val="005B3190"/>
    <w:rsid w:val="005B63E7"/>
    <w:rsid w:val="005B78FB"/>
    <w:rsid w:val="005B7EB0"/>
    <w:rsid w:val="005C1B0A"/>
    <w:rsid w:val="005C1CE8"/>
    <w:rsid w:val="005C3878"/>
    <w:rsid w:val="005C3F02"/>
    <w:rsid w:val="005C4127"/>
    <w:rsid w:val="005C5F63"/>
    <w:rsid w:val="005C66DF"/>
    <w:rsid w:val="005C6ADC"/>
    <w:rsid w:val="005C7026"/>
    <w:rsid w:val="005D0A52"/>
    <w:rsid w:val="005D117C"/>
    <w:rsid w:val="005D17C9"/>
    <w:rsid w:val="005D28D4"/>
    <w:rsid w:val="005D2ABC"/>
    <w:rsid w:val="005D33E4"/>
    <w:rsid w:val="005D4199"/>
    <w:rsid w:val="005D4C69"/>
    <w:rsid w:val="005D6A5D"/>
    <w:rsid w:val="005D72D1"/>
    <w:rsid w:val="005D7CD4"/>
    <w:rsid w:val="005D7D55"/>
    <w:rsid w:val="005E0DDE"/>
    <w:rsid w:val="005E2132"/>
    <w:rsid w:val="005E32E9"/>
    <w:rsid w:val="005E38FE"/>
    <w:rsid w:val="005E3F8C"/>
    <w:rsid w:val="005E679A"/>
    <w:rsid w:val="005E70AF"/>
    <w:rsid w:val="005E728E"/>
    <w:rsid w:val="005E7E92"/>
    <w:rsid w:val="005F0737"/>
    <w:rsid w:val="005F0B07"/>
    <w:rsid w:val="005F11E7"/>
    <w:rsid w:val="005F1C00"/>
    <w:rsid w:val="005F28E1"/>
    <w:rsid w:val="005F2EA6"/>
    <w:rsid w:val="005F3076"/>
    <w:rsid w:val="005F594C"/>
    <w:rsid w:val="005F5CA6"/>
    <w:rsid w:val="005F649E"/>
    <w:rsid w:val="005F6856"/>
    <w:rsid w:val="005F78A1"/>
    <w:rsid w:val="006016FD"/>
    <w:rsid w:val="00602753"/>
    <w:rsid w:val="00603903"/>
    <w:rsid w:val="00604B18"/>
    <w:rsid w:val="00604C1E"/>
    <w:rsid w:val="006050E4"/>
    <w:rsid w:val="006056EE"/>
    <w:rsid w:val="0060689D"/>
    <w:rsid w:val="0060699F"/>
    <w:rsid w:val="006072A5"/>
    <w:rsid w:val="006074C6"/>
    <w:rsid w:val="0061017F"/>
    <w:rsid w:val="0061119A"/>
    <w:rsid w:val="00611ADE"/>
    <w:rsid w:val="00612092"/>
    <w:rsid w:val="00612A66"/>
    <w:rsid w:val="006158A3"/>
    <w:rsid w:val="00615905"/>
    <w:rsid w:val="006160BC"/>
    <w:rsid w:val="00616714"/>
    <w:rsid w:val="00617670"/>
    <w:rsid w:val="00617BAD"/>
    <w:rsid w:val="006202EF"/>
    <w:rsid w:val="00620A01"/>
    <w:rsid w:val="00622942"/>
    <w:rsid w:val="0062348B"/>
    <w:rsid w:val="0062619B"/>
    <w:rsid w:val="0062662E"/>
    <w:rsid w:val="006268BF"/>
    <w:rsid w:val="00627C4E"/>
    <w:rsid w:val="00627D0C"/>
    <w:rsid w:val="006304D4"/>
    <w:rsid w:val="006310FB"/>
    <w:rsid w:val="0063119B"/>
    <w:rsid w:val="00631FF6"/>
    <w:rsid w:val="006344FD"/>
    <w:rsid w:val="006346DC"/>
    <w:rsid w:val="006365B4"/>
    <w:rsid w:val="00637A42"/>
    <w:rsid w:val="00637F08"/>
    <w:rsid w:val="00641C1C"/>
    <w:rsid w:val="00641E68"/>
    <w:rsid w:val="006427ED"/>
    <w:rsid w:val="0064292A"/>
    <w:rsid w:val="0064342F"/>
    <w:rsid w:val="00644814"/>
    <w:rsid w:val="006456F7"/>
    <w:rsid w:val="00646B92"/>
    <w:rsid w:val="00646BBC"/>
    <w:rsid w:val="0065009F"/>
    <w:rsid w:val="00650FCE"/>
    <w:rsid w:val="006513A3"/>
    <w:rsid w:val="00651EDC"/>
    <w:rsid w:val="00652062"/>
    <w:rsid w:val="00652957"/>
    <w:rsid w:val="00652BF9"/>
    <w:rsid w:val="00652EBD"/>
    <w:rsid w:val="00653EC0"/>
    <w:rsid w:val="0065414F"/>
    <w:rsid w:val="00654BDB"/>
    <w:rsid w:val="00654DB4"/>
    <w:rsid w:val="00655279"/>
    <w:rsid w:val="0065538B"/>
    <w:rsid w:val="006554F1"/>
    <w:rsid w:val="006559DC"/>
    <w:rsid w:val="00660385"/>
    <w:rsid w:val="00662492"/>
    <w:rsid w:val="00665179"/>
    <w:rsid w:val="00665C83"/>
    <w:rsid w:val="006674D8"/>
    <w:rsid w:val="00667817"/>
    <w:rsid w:val="00671721"/>
    <w:rsid w:val="00672CA0"/>
    <w:rsid w:val="0068078F"/>
    <w:rsid w:val="006816C0"/>
    <w:rsid w:val="00681952"/>
    <w:rsid w:val="0068244B"/>
    <w:rsid w:val="006826A1"/>
    <w:rsid w:val="00682932"/>
    <w:rsid w:val="00682C33"/>
    <w:rsid w:val="00683F20"/>
    <w:rsid w:val="0068446C"/>
    <w:rsid w:val="00684FB0"/>
    <w:rsid w:val="006854EF"/>
    <w:rsid w:val="00686FF0"/>
    <w:rsid w:val="006908B6"/>
    <w:rsid w:val="00690A5C"/>
    <w:rsid w:val="00693913"/>
    <w:rsid w:val="00693C03"/>
    <w:rsid w:val="0069514A"/>
    <w:rsid w:val="006970B0"/>
    <w:rsid w:val="00697193"/>
    <w:rsid w:val="006973D9"/>
    <w:rsid w:val="006973F9"/>
    <w:rsid w:val="00697485"/>
    <w:rsid w:val="0069762B"/>
    <w:rsid w:val="00697AD6"/>
    <w:rsid w:val="006A1216"/>
    <w:rsid w:val="006A20C0"/>
    <w:rsid w:val="006A6214"/>
    <w:rsid w:val="006A6380"/>
    <w:rsid w:val="006A6527"/>
    <w:rsid w:val="006A6F20"/>
    <w:rsid w:val="006A7424"/>
    <w:rsid w:val="006A7A2A"/>
    <w:rsid w:val="006B1C50"/>
    <w:rsid w:val="006B23F6"/>
    <w:rsid w:val="006B2B30"/>
    <w:rsid w:val="006B36B7"/>
    <w:rsid w:val="006B3D37"/>
    <w:rsid w:val="006B429C"/>
    <w:rsid w:val="006B4527"/>
    <w:rsid w:val="006B56AA"/>
    <w:rsid w:val="006B5C6E"/>
    <w:rsid w:val="006B6A97"/>
    <w:rsid w:val="006C0A86"/>
    <w:rsid w:val="006C0D06"/>
    <w:rsid w:val="006C29B8"/>
    <w:rsid w:val="006C3A92"/>
    <w:rsid w:val="006C3C0E"/>
    <w:rsid w:val="006C4B15"/>
    <w:rsid w:val="006C4D3F"/>
    <w:rsid w:val="006C4DDE"/>
    <w:rsid w:val="006C50ED"/>
    <w:rsid w:val="006C5481"/>
    <w:rsid w:val="006C578D"/>
    <w:rsid w:val="006C7797"/>
    <w:rsid w:val="006D0A0E"/>
    <w:rsid w:val="006D128D"/>
    <w:rsid w:val="006D15BA"/>
    <w:rsid w:val="006D1DE7"/>
    <w:rsid w:val="006D2986"/>
    <w:rsid w:val="006D2ED6"/>
    <w:rsid w:val="006D2FC2"/>
    <w:rsid w:val="006D34D3"/>
    <w:rsid w:val="006D3AA2"/>
    <w:rsid w:val="006D3CAB"/>
    <w:rsid w:val="006D4CA1"/>
    <w:rsid w:val="006D51BC"/>
    <w:rsid w:val="006D6205"/>
    <w:rsid w:val="006D6745"/>
    <w:rsid w:val="006D6893"/>
    <w:rsid w:val="006D695E"/>
    <w:rsid w:val="006E2430"/>
    <w:rsid w:val="006E35E9"/>
    <w:rsid w:val="006E3E86"/>
    <w:rsid w:val="006E411D"/>
    <w:rsid w:val="006E5536"/>
    <w:rsid w:val="006F049D"/>
    <w:rsid w:val="006F2250"/>
    <w:rsid w:val="006F2FCE"/>
    <w:rsid w:val="006F4F57"/>
    <w:rsid w:val="006F529B"/>
    <w:rsid w:val="006F55E3"/>
    <w:rsid w:val="006F5608"/>
    <w:rsid w:val="006F5EBA"/>
    <w:rsid w:val="006F5FFF"/>
    <w:rsid w:val="006F67A8"/>
    <w:rsid w:val="006F6BF0"/>
    <w:rsid w:val="006F6E00"/>
    <w:rsid w:val="006F75CB"/>
    <w:rsid w:val="006F7CA8"/>
    <w:rsid w:val="0070016F"/>
    <w:rsid w:val="00700879"/>
    <w:rsid w:val="007015B8"/>
    <w:rsid w:val="00701E66"/>
    <w:rsid w:val="0070270A"/>
    <w:rsid w:val="00703874"/>
    <w:rsid w:val="00704083"/>
    <w:rsid w:val="007044C3"/>
    <w:rsid w:val="00706268"/>
    <w:rsid w:val="007064F3"/>
    <w:rsid w:val="0070688A"/>
    <w:rsid w:val="007079CC"/>
    <w:rsid w:val="00707C6C"/>
    <w:rsid w:val="00710D63"/>
    <w:rsid w:val="00711189"/>
    <w:rsid w:val="00711442"/>
    <w:rsid w:val="00711976"/>
    <w:rsid w:val="00712BA6"/>
    <w:rsid w:val="00713331"/>
    <w:rsid w:val="007133CF"/>
    <w:rsid w:val="007141C2"/>
    <w:rsid w:val="0071439D"/>
    <w:rsid w:val="00714CCB"/>
    <w:rsid w:val="00716AF1"/>
    <w:rsid w:val="00717A74"/>
    <w:rsid w:val="00717EFF"/>
    <w:rsid w:val="00720AFB"/>
    <w:rsid w:val="007210CA"/>
    <w:rsid w:val="007214FF"/>
    <w:rsid w:val="0072268B"/>
    <w:rsid w:val="00722F8B"/>
    <w:rsid w:val="0072379D"/>
    <w:rsid w:val="00723A8D"/>
    <w:rsid w:val="0072480D"/>
    <w:rsid w:val="00724A49"/>
    <w:rsid w:val="007255A0"/>
    <w:rsid w:val="00726876"/>
    <w:rsid w:val="00726A66"/>
    <w:rsid w:val="00730BD5"/>
    <w:rsid w:val="0073111F"/>
    <w:rsid w:val="007312E4"/>
    <w:rsid w:val="00731934"/>
    <w:rsid w:val="00732AD4"/>
    <w:rsid w:val="00733615"/>
    <w:rsid w:val="00733F14"/>
    <w:rsid w:val="0073762E"/>
    <w:rsid w:val="0074151D"/>
    <w:rsid w:val="00741E20"/>
    <w:rsid w:val="0074266E"/>
    <w:rsid w:val="007426FF"/>
    <w:rsid w:val="00743720"/>
    <w:rsid w:val="00743745"/>
    <w:rsid w:val="007447FE"/>
    <w:rsid w:val="00744EFA"/>
    <w:rsid w:val="00745021"/>
    <w:rsid w:val="007468AF"/>
    <w:rsid w:val="007474D8"/>
    <w:rsid w:val="007476FF"/>
    <w:rsid w:val="00747C12"/>
    <w:rsid w:val="007524DE"/>
    <w:rsid w:val="00752C33"/>
    <w:rsid w:val="00752DB4"/>
    <w:rsid w:val="007532D6"/>
    <w:rsid w:val="00753668"/>
    <w:rsid w:val="00753E8C"/>
    <w:rsid w:val="007548F7"/>
    <w:rsid w:val="00754FB3"/>
    <w:rsid w:val="00755D98"/>
    <w:rsid w:val="00756757"/>
    <w:rsid w:val="00756A02"/>
    <w:rsid w:val="00757B55"/>
    <w:rsid w:val="00757EF7"/>
    <w:rsid w:val="00757FCE"/>
    <w:rsid w:val="00760521"/>
    <w:rsid w:val="00763C42"/>
    <w:rsid w:val="00763EBC"/>
    <w:rsid w:val="00764AB7"/>
    <w:rsid w:val="00764FC6"/>
    <w:rsid w:val="007650E2"/>
    <w:rsid w:val="007703B6"/>
    <w:rsid w:val="007703DE"/>
    <w:rsid w:val="00770630"/>
    <w:rsid w:val="0077319F"/>
    <w:rsid w:val="007732D3"/>
    <w:rsid w:val="007739BE"/>
    <w:rsid w:val="00773E79"/>
    <w:rsid w:val="00774453"/>
    <w:rsid w:val="007750F2"/>
    <w:rsid w:val="00777225"/>
    <w:rsid w:val="007777CD"/>
    <w:rsid w:val="00777921"/>
    <w:rsid w:val="00781323"/>
    <w:rsid w:val="00781674"/>
    <w:rsid w:val="00782386"/>
    <w:rsid w:val="007846C2"/>
    <w:rsid w:val="007851BC"/>
    <w:rsid w:val="00785693"/>
    <w:rsid w:val="00785F62"/>
    <w:rsid w:val="00786886"/>
    <w:rsid w:val="00786FFE"/>
    <w:rsid w:val="00787410"/>
    <w:rsid w:val="00787809"/>
    <w:rsid w:val="007879F7"/>
    <w:rsid w:val="00790689"/>
    <w:rsid w:val="00790A74"/>
    <w:rsid w:val="00790E4A"/>
    <w:rsid w:val="00790E52"/>
    <w:rsid w:val="007910B7"/>
    <w:rsid w:val="007911F1"/>
    <w:rsid w:val="007929F5"/>
    <w:rsid w:val="007946AF"/>
    <w:rsid w:val="007955E5"/>
    <w:rsid w:val="00796939"/>
    <w:rsid w:val="00796993"/>
    <w:rsid w:val="00796AB0"/>
    <w:rsid w:val="00796B5A"/>
    <w:rsid w:val="0079746C"/>
    <w:rsid w:val="007975A2"/>
    <w:rsid w:val="007A0007"/>
    <w:rsid w:val="007A11FD"/>
    <w:rsid w:val="007A1859"/>
    <w:rsid w:val="007A1AE6"/>
    <w:rsid w:val="007A2456"/>
    <w:rsid w:val="007A364F"/>
    <w:rsid w:val="007A510D"/>
    <w:rsid w:val="007A5342"/>
    <w:rsid w:val="007A592A"/>
    <w:rsid w:val="007A5AB2"/>
    <w:rsid w:val="007A5CF8"/>
    <w:rsid w:val="007A5EE2"/>
    <w:rsid w:val="007B05C6"/>
    <w:rsid w:val="007B0F06"/>
    <w:rsid w:val="007B122B"/>
    <w:rsid w:val="007B16C8"/>
    <w:rsid w:val="007B172C"/>
    <w:rsid w:val="007B1A12"/>
    <w:rsid w:val="007B36C2"/>
    <w:rsid w:val="007B494A"/>
    <w:rsid w:val="007B4BC9"/>
    <w:rsid w:val="007B5F71"/>
    <w:rsid w:val="007B602B"/>
    <w:rsid w:val="007B615C"/>
    <w:rsid w:val="007B7C02"/>
    <w:rsid w:val="007B7D1D"/>
    <w:rsid w:val="007C07C9"/>
    <w:rsid w:val="007C0AC8"/>
    <w:rsid w:val="007C287B"/>
    <w:rsid w:val="007C2BCF"/>
    <w:rsid w:val="007C2EAD"/>
    <w:rsid w:val="007C47E4"/>
    <w:rsid w:val="007C48E2"/>
    <w:rsid w:val="007C5815"/>
    <w:rsid w:val="007C7148"/>
    <w:rsid w:val="007C76B8"/>
    <w:rsid w:val="007C7E63"/>
    <w:rsid w:val="007D0BF6"/>
    <w:rsid w:val="007D0D05"/>
    <w:rsid w:val="007D172D"/>
    <w:rsid w:val="007D2084"/>
    <w:rsid w:val="007D219E"/>
    <w:rsid w:val="007D2E3C"/>
    <w:rsid w:val="007D3FE5"/>
    <w:rsid w:val="007D4D3F"/>
    <w:rsid w:val="007D51C3"/>
    <w:rsid w:val="007D5675"/>
    <w:rsid w:val="007D73E7"/>
    <w:rsid w:val="007D7A76"/>
    <w:rsid w:val="007D7FB3"/>
    <w:rsid w:val="007E118C"/>
    <w:rsid w:val="007E149E"/>
    <w:rsid w:val="007E28D0"/>
    <w:rsid w:val="007E2FD3"/>
    <w:rsid w:val="007E37EE"/>
    <w:rsid w:val="007E4D5C"/>
    <w:rsid w:val="007E5C58"/>
    <w:rsid w:val="007E6B66"/>
    <w:rsid w:val="007E73EF"/>
    <w:rsid w:val="007E7C84"/>
    <w:rsid w:val="007F11C7"/>
    <w:rsid w:val="007F1592"/>
    <w:rsid w:val="007F18C6"/>
    <w:rsid w:val="007F1FDD"/>
    <w:rsid w:val="007F35AD"/>
    <w:rsid w:val="007F4BA3"/>
    <w:rsid w:val="007F56A6"/>
    <w:rsid w:val="00800CE0"/>
    <w:rsid w:val="00800E43"/>
    <w:rsid w:val="0080339C"/>
    <w:rsid w:val="008035BF"/>
    <w:rsid w:val="00803A3D"/>
    <w:rsid w:val="008041AB"/>
    <w:rsid w:val="00805359"/>
    <w:rsid w:val="00805836"/>
    <w:rsid w:val="00806668"/>
    <w:rsid w:val="00807080"/>
    <w:rsid w:val="00810C1C"/>
    <w:rsid w:val="008116C8"/>
    <w:rsid w:val="00812135"/>
    <w:rsid w:val="008150ED"/>
    <w:rsid w:val="00815693"/>
    <w:rsid w:val="00815942"/>
    <w:rsid w:val="00815B77"/>
    <w:rsid w:val="008165B4"/>
    <w:rsid w:val="0081696A"/>
    <w:rsid w:val="00817246"/>
    <w:rsid w:val="00817551"/>
    <w:rsid w:val="00820A50"/>
    <w:rsid w:val="00821D72"/>
    <w:rsid w:val="00821EB4"/>
    <w:rsid w:val="00822081"/>
    <w:rsid w:val="0082236D"/>
    <w:rsid w:val="00823656"/>
    <w:rsid w:val="00825267"/>
    <w:rsid w:val="00826090"/>
    <w:rsid w:val="00826DB7"/>
    <w:rsid w:val="00830127"/>
    <w:rsid w:val="00830C99"/>
    <w:rsid w:val="00831110"/>
    <w:rsid w:val="00831160"/>
    <w:rsid w:val="008328DF"/>
    <w:rsid w:val="00832EB6"/>
    <w:rsid w:val="0083347D"/>
    <w:rsid w:val="0083413B"/>
    <w:rsid w:val="008345D4"/>
    <w:rsid w:val="00834670"/>
    <w:rsid w:val="00834B9F"/>
    <w:rsid w:val="00834C4C"/>
    <w:rsid w:val="00834CA9"/>
    <w:rsid w:val="008352B9"/>
    <w:rsid w:val="00835399"/>
    <w:rsid w:val="008359B8"/>
    <w:rsid w:val="00836316"/>
    <w:rsid w:val="0083706E"/>
    <w:rsid w:val="0083728A"/>
    <w:rsid w:val="00837954"/>
    <w:rsid w:val="008403CF"/>
    <w:rsid w:val="00841CAA"/>
    <w:rsid w:val="00843240"/>
    <w:rsid w:val="00843AE8"/>
    <w:rsid w:val="00843D0C"/>
    <w:rsid w:val="00843F5C"/>
    <w:rsid w:val="00844695"/>
    <w:rsid w:val="00845F2F"/>
    <w:rsid w:val="00846E57"/>
    <w:rsid w:val="0085101F"/>
    <w:rsid w:val="008515FA"/>
    <w:rsid w:val="008526F8"/>
    <w:rsid w:val="00852D97"/>
    <w:rsid w:val="008536BA"/>
    <w:rsid w:val="008543B0"/>
    <w:rsid w:val="00855E5B"/>
    <w:rsid w:val="008567CF"/>
    <w:rsid w:val="00857458"/>
    <w:rsid w:val="0086021B"/>
    <w:rsid w:val="00862A7E"/>
    <w:rsid w:val="00864390"/>
    <w:rsid w:val="0086462E"/>
    <w:rsid w:val="00865B3F"/>
    <w:rsid w:val="00870219"/>
    <w:rsid w:val="00870C86"/>
    <w:rsid w:val="0087140D"/>
    <w:rsid w:val="008714C4"/>
    <w:rsid w:val="00871CC2"/>
    <w:rsid w:val="00874987"/>
    <w:rsid w:val="00874A54"/>
    <w:rsid w:val="0087598F"/>
    <w:rsid w:val="00875C3A"/>
    <w:rsid w:val="00881A0C"/>
    <w:rsid w:val="00881D91"/>
    <w:rsid w:val="00882A4A"/>
    <w:rsid w:val="008837BB"/>
    <w:rsid w:val="008837D4"/>
    <w:rsid w:val="00883C35"/>
    <w:rsid w:val="0088400A"/>
    <w:rsid w:val="00884290"/>
    <w:rsid w:val="00884E46"/>
    <w:rsid w:val="00890D3B"/>
    <w:rsid w:val="008915B6"/>
    <w:rsid w:val="00891DF8"/>
    <w:rsid w:val="00891EB5"/>
    <w:rsid w:val="008942C1"/>
    <w:rsid w:val="0089605D"/>
    <w:rsid w:val="008A01A9"/>
    <w:rsid w:val="008A2077"/>
    <w:rsid w:val="008A20E6"/>
    <w:rsid w:val="008A3A89"/>
    <w:rsid w:val="008A4CB3"/>
    <w:rsid w:val="008A55CC"/>
    <w:rsid w:val="008A59DE"/>
    <w:rsid w:val="008A5CF5"/>
    <w:rsid w:val="008A613D"/>
    <w:rsid w:val="008A6EE4"/>
    <w:rsid w:val="008A7C6A"/>
    <w:rsid w:val="008B0AD3"/>
    <w:rsid w:val="008B0E20"/>
    <w:rsid w:val="008B155B"/>
    <w:rsid w:val="008B202B"/>
    <w:rsid w:val="008B2349"/>
    <w:rsid w:val="008B4B1C"/>
    <w:rsid w:val="008B4B31"/>
    <w:rsid w:val="008B4FEB"/>
    <w:rsid w:val="008B5B4F"/>
    <w:rsid w:val="008B6174"/>
    <w:rsid w:val="008B6A64"/>
    <w:rsid w:val="008B7181"/>
    <w:rsid w:val="008B7264"/>
    <w:rsid w:val="008B7D6D"/>
    <w:rsid w:val="008B7D99"/>
    <w:rsid w:val="008C0E7E"/>
    <w:rsid w:val="008C2259"/>
    <w:rsid w:val="008C2FD6"/>
    <w:rsid w:val="008C48E2"/>
    <w:rsid w:val="008C5770"/>
    <w:rsid w:val="008C58A9"/>
    <w:rsid w:val="008C5E75"/>
    <w:rsid w:val="008C6A2A"/>
    <w:rsid w:val="008C6CC2"/>
    <w:rsid w:val="008C6D52"/>
    <w:rsid w:val="008C76FB"/>
    <w:rsid w:val="008C7AB7"/>
    <w:rsid w:val="008D3040"/>
    <w:rsid w:val="008D5E58"/>
    <w:rsid w:val="008D6582"/>
    <w:rsid w:val="008E019D"/>
    <w:rsid w:val="008E0466"/>
    <w:rsid w:val="008E35F0"/>
    <w:rsid w:val="008E5DAC"/>
    <w:rsid w:val="008E5F92"/>
    <w:rsid w:val="008F0061"/>
    <w:rsid w:val="008F03A3"/>
    <w:rsid w:val="008F0E64"/>
    <w:rsid w:val="008F1271"/>
    <w:rsid w:val="008F29E3"/>
    <w:rsid w:val="008F392E"/>
    <w:rsid w:val="008F3D1A"/>
    <w:rsid w:val="008F5DD0"/>
    <w:rsid w:val="008F640A"/>
    <w:rsid w:val="00901327"/>
    <w:rsid w:val="00901B21"/>
    <w:rsid w:val="009020CA"/>
    <w:rsid w:val="009029CA"/>
    <w:rsid w:val="00902C5A"/>
    <w:rsid w:val="00902FB9"/>
    <w:rsid w:val="00904934"/>
    <w:rsid w:val="00904F34"/>
    <w:rsid w:val="00905455"/>
    <w:rsid w:val="009055E5"/>
    <w:rsid w:val="00906A8E"/>
    <w:rsid w:val="0090791A"/>
    <w:rsid w:val="00910664"/>
    <w:rsid w:val="00912A7C"/>
    <w:rsid w:val="009145F4"/>
    <w:rsid w:val="0091515E"/>
    <w:rsid w:val="00916237"/>
    <w:rsid w:val="00916E84"/>
    <w:rsid w:val="00917025"/>
    <w:rsid w:val="009205DE"/>
    <w:rsid w:val="00920EEB"/>
    <w:rsid w:val="00921217"/>
    <w:rsid w:val="009213D5"/>
    <w:rsid w:val="0092197B"/>
    <w:rsid w:val="00921D9D"/>
    <w:rsid w:val="009221C2"/>
    <w:rsid w:val="00922B2A"/>
    <w:rsid w:val="009231AB"/>
    <w:rsid w:val="00923FC8"/>
    <w:rsid w:val="00925002"/>
    <w:rsid w:val="009256F8"/>
    <w:rsid w:val="00930793"/>
    <w:rsid w:val="009308A1"/>
    <w:rsid w:val="00930E7B"/>
    <w:rsid w:val="00930EA0"/>
    <w:rsid w:val="0093103B"/>
    <w:rsid w:val="00931584"/>
    <w:rsid w:val="009319D2"/>
    <w:rsid w:val="00931CC1"/>
    <w:rsid w:val="00933897"/>
    <w:rsid w:val="009339F6"/>
    <w:rsid w:val="00933C3B"/>
    <w:rsid w:val="00933C4F"/>
    <w:rsid w:val="00934548"/>
    <w:rsid w:val="00934C89"/>
    <w:rsid w:val="00934DCD"/>
    <w:rsid w:val="0093557C"/>
    <w:rsid w:val="00936433"/>
    <w:rsid w:val="0093704A"/>
    <w:rsid w:val="00937BAE"/>
    <w:rsid w:val="00940ADD"/>
    <w:rsid w:val="00941A25"/>
    <w:rsid w:val="0094264B"/>
    <w:rsid w:val="009431F6"/>
    <w:rsid w:val="00944590"/>
    <w:rsid w:val="00944A1E"/>
    <w:rsid w:val="0094673B"/>
    <w:rsid w:val="00947FBC"/>
    <w:rsid w:val="00951338"/>
    <w:rsid w:val="00952BE9"/>
    <w:rsid w:val="00952DC3"/>
    <w:rsid w:val="0095346C"/>
    <w:rsid w:val="00953629"/>
    <w:rsid w:val="00954726"/>
    <w:rsid w:val="00956065"/>
    <w:rsid w:val="009560AB"/>
    <w:rsid w:val="0095640C"/>
    <w:rsid w:val="009566D0"/>
    <w:rsid w:val="00960E40"/>
    <w:rsid w:val="00961AE2"/>
    <w:rsid w:val="00961D5F"/>
    <w:rsid w:val="00961FB8"/>
    <w:rsid w:val="009635BF"/>
    <w:rsid w:val="00963C5B"/>
    <w:rsid w:val="00964482"/>
    <w:rsid w:val="0096499E"/>
    <w:rsid w:val="00966B3D"/>
    <w:rsid w:val="0096728A"/>
    <w:rsid w:val="00971719"/>
    <w:rsid w:val="00972426"/>
    <w:rsid w:val="00972C14"/>
    <w:rsid w:val="00972DC7"/>
    <w:rsid w:val="009733BF"/>
    <w:rsid w:val="00973584"/>
    <w:rsid w:val="00973F9B"/>
    <w:rsid w:val="0097737E"/>
    <w:rsid w:val="009804AF"/>
    <w:rsid w:val="00982199"/>
    <w:rsid w:val="00982662"/>
    <w:rsid w:val="0098282F"/>
    <w:rsid w:val="00983634"/>
    <w:rsid w:val="009846EB"/>
    <w:rsid w:val="00984A8B"/>
    <w:rsid w:val="00984C9C"/>
    <w:rsid w:val="009854D1"/>
    <w:rsid w:val="00986889"/>
    <w:rsid w:val="00987D8D"/>
    <w:rsid w:val="0099022B"/>
    <w:rsid w:val="009902A8"/>
    <w:rsid w:val="00990B5B"/>
    <w:rsid w:val="00990C97"/>
    <w:rsid w:val="009911B3"/>
    <w:rsid w:val="0099181B"/>
    <w:rsid w:val="009930F5"/>
    <w:rsid w:val="0099326D"/>
    <w:rsid w:val="00994955"/>
    <w:rsid w:val="0099533C"/>
    <w:rsid w:val="00996698"/>
    <w:rsid w:val="00996C0F"/>
    <w:rsid w:val="00997D4B"/>
    <w:rsid w:val="00997FF8"/>
    <w:rsid w:val="009A0237"/>
    <w:rsid w:val="009A0BE3"/>
    <w:rsid w:val="009A0F0C"/>
    <w:rsid w:val="009A14FE"/>
    <w:rsid w:val="009A17EF"/>
    <w:rsid w:val="009A5E21"/>
    <w:rsid w:val="009A752A"/>
    <w:rsid w:val="009A7E57"/>
    <w:rsid w:val="009B0FFF"/>
    <w:rsid w:val="009B2DDC"/>
    <w:rsid w:val="009B367B"/>
    <w:rsid w:val="009B5384"/>
    <w:rsid w:val="009B5D10"/>
    <w:rsid w:val="009B7062"/>
    <w:rsid w:val="009B72C2"/>
    <w:rsid w:val="009C072D"/>
    <w:rsid w:val="009C0D6A"/>
    <w:rsid w:val="009C1C91"/>
    <w:rsid w:val="009C61E4"/>
    <w:rsid w:val="009C7070"/>
    <w:rsid w:val="009D1A7D"/>
    <w:rsid w:val="009D349E"/>
    <w:rsid w:val="009D4297"/>
    <w:rsid w:val="009D45D0"/>
    <w:rsid w:val="009D59FB"/>
    <w:rsid w:val="009D5E93"/>
    <w:rsid w:val="009D6685"/>
    <w:rsid w:val="009D711F"/>
    <w:rsid w:val="009E048B"/>
    <w:rsid w:val="009E1B28"/>
    <w:rsid w:val="009E221D"/>
    <w:rsid w:val="009E30C1"/>
    <w:rsid w:val="009E324D"/>
    <w:rsid w:val="009E3994"/>
    <w:rsid w:val="009E3ED2"/>
    <w:rsid w:val="009E4895"/>
    <w:rsid w:val="009E771C"/>
    <w:rsid w:val="009E7E7A"/>
    <w:rsid w:val="009F0DB2"/>
    <w:rsid w:val="009F2D86"/>
    <w:rsid w:val="009F4421"/>
    <w:rsid w:val="009F49A2"/>
    <w:rsid w:val="009F5046"/>
    <w:rsid w:val="009F54D6"/>
    <w:rsid w:val="009F66E6"/>
    <w:rsid w:val="00A004F7"/>
    <w:rsid w:val="00A007B0"/>
    <w:rsid w:val="00A00FCD"/>
    <w:rsid w:val="00A017F5"/>
    <w:rsid w:val="00A02044"/>
    <w:rsid w:val="00A02A28"/>
    <w:rsid w:val="00A04C3E"/>
    <w:rsid w:val="00A055AC"/>
    <w:rsid w:val="00A104CC"/>
    <w:rsid w:val="00A11874"/>
    <w:rsid w:val="00A1361D"/>
    <w:rsid w:val="00A14825"/>
    <w:rsid w:val="00A16642"/>
    <w:rsid w:val="00A16BF3"/>
    <w:rsid w:val="00A203F3"/>
    <w:rsid w:val="00A214C5"/>
    <w:rsid w:val="00A22A84"/>
    <w:rsid w:val="00A22E7A"/>
    <w:rsid w:val="00A24DF4"/>
    <w:rsid w:val="00A26124"/>
    <w:rsid w:val="00A26247"/>
    <w:rsid w:val="00A26F56"/>
    <w:rsid w:val="00A30153"/>
    <w:rsid w:val="00A31B5E"/>
    <w:rsid w:val="00A31F3E"/>
    <w:rsid w:val="00A326B2"/>
    <w:rsid w:val="00A32C2B"/>
    <w:rsid w:val="00A32DAF"/>
    <w:rsid w:val="00A34104"/>
    <w:rsid w:val="00A3447A"/>
    <w:rsid w:val="00A353FC"/>
    <w:rsid w:val="00A4102F"/>
    <w:rsid w:val="00A41AEC"/>
    <w:rsid w:val="00A42787"/>
    <w:rsid w:val="00A42F91"/>
    <w:rsid w:val="00A4658E"/>
    <w:rsid w:val="00A472BD"/>
    <w:rsid w:val="00A4756C"/>
    <w:rsid w:val="00A5048B"/>
    <w:rsid w:val="00A5075A"/>
    <w:rsid w:val="00A50DAF"/>
    <w:rsid w:val="00A53536"/>
    <w:rsid w:val="00A53614"/>
    <w:rsid w:val="00A5444B"/>
    <w:rsid w:val="00A549E6"/>
    <w:rsid w:val="00A54DE0"/>
    <w:rsid w:val="00A561F2"/>
    <w:rsid w:val="00A57D46"/>
    <w:rsid w:val="00A57F3D"/>
    <w:rsid w:val="00A60B44"/>
    <w:rsid w:val="00A61358"/>
    <w:rsid w:val="00A61454"/>
    <w:rsid w:val="00A61D06"/>
    <w:rsid w:val="00A6211E"/>
    <w:rsid w:val="00A62606"/>
    <w:rsid w:val="00A65D16"/>
    <w:rsid w:val="00A666BF"/>
    <w:rsid w:val="00A6690E"/>
    <w:rsid w:val="00A70541"/>
    <w:rsid w:val="00A70B9C"/>
    <w:rsid w:val="00A72402"/>
    <w:rsid w:val="00A724C4"/>
    <w:rsid w:val="00A74020"/>
    <w:rsid w:val="00A748BD"/>
    <w:rsid w:val="00A7502B"/>
    <w:rsid w:val="00A7615D"/>
    <w:rsid w:val="00A76851"/>
    <w:rsid w:val="00A774BE"/>
    <w:rsid w:val="00A77E23"/>
    <w:rsid w:val="00A806FB"/>
    <w:rsid w:val="00A80A65"/>
    <w:rsid w:val="00A81B5E"/>
    <w:rsid w:val="00A825E0"/>
    <w:rsid w:val="00A83041"/>
    <w:rsid w:val="00A8473F"/>
    <w:rsid w:val="00A851F2"/>
    <w:rsid w:val="00A8557E"/>
    <w:rsid w:val="00A867BD"/>
    <w:rsid w:val="00A87B60"/>
    <w:rsid w:val="00A905A8"/>
    <w:rsid w:val="00A918DA"/>
    <w:rsid w:val="00A91F9E"/>
    <w:rsid w:val="00A92B90"/>
    <w:rsid w:val="00A92D36"/>
    <w:rsid w:val="00A941B5"/>
    <w:rsid w:val="00A95B29"/>
    <w:rsid w:val="00A96879"/>
    <w:rsid w:val="00A97A14"/>
    <w:rsid w:val="00AA0332"/>
    <w:rsid w:val="00AA3A7B"/>
    <w:rsid w:val="00AA40DE"/>
    <w:rsid w:val="00AA5893"/>
    <w:rsid w:val="00AA66C2"/>
    <w:rsid w:val="00AA791D"/>
    <w:rsid w:val="00AA7B4F"/>
    <w:rsid w:val="00AA7F6F"/>
    <w:rsid w:val="00AB0281"/>
    <w:rsid w:val="00AB0F27"/>
    <w:rsid w:val="00AB3341"/>
    <w:rsid w:val="00AB588D"/>
    <w:rsid w:val="00AB63CF"/>
    <w:rsid w:val="00AB67B0"/>
    <w:rsid w:val="00AB69E2"/>
    <w:rsid w:val="00AB7B20"/>
    <w:rsid w:val="00AC1802"/>
    <w:rsid w:val="00AC21A7"/>
    <w:rsid w:val="00AC27BB"/>
    <w:rsid w:val="00AC3519"/>
    <w:rsid w:val="00AC40DB"/>
    <w:rsid w:val="00AC42FD"/>
    <w:rsid w:val="00AC52D3"/>
    <w:rsid w:val="00AC543B"/>
    <w:rsid w:val="00AC5F69"/>
    <w:rsid w:val="00AC62FD"/>
    <w:rsid w:val="00AC74B0"/>
    <w:rsid w:val="00AD0190"/>
    <w:rsid w:val="00AD0F61"/>
    <w:rsid w:val="00AD273E"/>
    <w:rsid w:val="00AD2866"/>
    <w:rsid w:val="00AD3E06"/>
    <w:rsid w:val="00AD426B"/>
    <w:rsid w:val="00AD5E10"/>
    <w:rsid w:val="00AD7202"/>
    <w:rsid w:val="00AD738E"/>
    <w:rsid w:val="00AD7826"/>
    <w:rsid w:val="00AE02AB"/>
    <w:rsid w:val="00AE0EE8"/>
    <w:rsid w:val="00AE107D"/>
    <w:rsid w:val="00AE139B"/>
    <w:rsid w:val="00AE2BE7"/>
    <w:rsid w:val="00AE5B79"/>
    <w:rsid w:val="00AF0ABD"/>
    <w:rsid w:val="00AF1078"/>
    <w:rsid w:val="00AF2BBE"/>
    <w:rsid w:val="00AF2C69"/>
    <w:rsid w:val="00AF32C2"/>
    <w:rsid w:val="00AF4614"/>
    <w:rsid w:val="00AF4EAA"/>
    <w:rsid w:val="00AF6665"/>
    <w:rsid w:val="00AF6C37"/>
    <w:rsid w:val="00AF6C66"/>
    <w:rsid w:val="00AF7D31"/>
    <w:rsid w:val="00B00D11"/>
    <w:rsid w:val="00B00EC9"/>
    <w:rsid w:val="00B01147"/>
    <w:rsid w:val="00B028B1"/>
    <w:rsid w:val="00B02A1A"/>
    <w:rsid w:val="00B03603"/>
    <w:rsid w:val="00B03EC6"/>
    <w:rsid w:val="00B04FE0"/>
    <w:rsid w:val="00B05998"/>
    <w:rsid w:val="00B05CAB"/>
    <w:rsid w:val="00B05FA9"/>
    <w:rsid w:val="00B06134"/>
    <w:rsid w:val="00B067A9"/>
    <w:rsid w:val="00B0681B"/>
    <w:rsid w:val="00B0739D"/>
    <w:rsid w:val="00B07750"/>
    <w:rsid w:val="00B07E01"/>
    <w:rsid w:val="00B07F6A"/>
    <w:rsid w:val="00B07FF3"/>
    <w:rsid w:val="00B10D73"/>
    <w:rsid w:val="00B11072"/>
    <w:rsid w:val="00B110FC"/>
    <w:rsid w:val="00B113B4"/>
    <w:rsid w:val="00B11DC5"/>
    <w:rsid w:val="00B1394F"/>
    <w:rsid w:val="00B13AC0"/>
    <w:rsid w:val="00B13E10"/>
    <w:rsid w:val="00B1482C"/>
    <w:rsid w:val="00B15836"/>
    <w:rsid w:val="00B16919"/>
    <w:rsid w:val="00B1712A"/>
    <w:rsid w:val="00B17570"/>
    <w:rsid w:val="00B17E45"/>
    <w:rsid w:val="00B213C8"/>
    <w:rsid w:val="00B218EE"/>
    <w:rsid w:val="00B21C05"/>
    <w:rsid w:val="00B22D93"/>
    <w:rsid w:val="00B22F0B"/>
    <w:rsid w:val="00B24BD3"/>
    <w:rsid w:val="00B250E0"/>
    <w:rsid w:val="00B25DEF"/>
    <w:rsid w:val="00B27421"/>
    <w:rsid w:val="00B27BFE"/>
    <w:rsid w:val="00B30242"/>
    <w:rsid w:val="00B30EFB"/>
    <w:rsid w:val="00B3108A"/>
    <w:rsid w:val="00B31699"/>
    <w:rsid w:val="00B33AB0"/>
    <w:rsid w:val="00B33DA3"/>
    <w:rsid w:val="00B34965"/>
    <w:rsid w:val="00B34B0E"/>
    <w:rsid w:val="00B34DA8"/>
    <w:rsid w:val="00B35BEB"/>
    <w:rsid w:val="00B35C3E"/>
    <w:rsid w:val="00B36F3A"/>
    <w:rsid w:val="00B37443"/>
    <w:rsid w:val="00B37941"/>
    <w:rsid w:val="00B40789"/>
    <w:rsid w:val="00B4094A"/>
    <w:rsid w:val="00B42351"/>
    <w:rsid w:val="00B44E3B"/>
    <w:rsid w:val="00B44ECA"/>
    <w:rsid w:val="00B467FD"/>
    <w:rsid w:val="00B46FF6"/>
    <w:rsid w:val="00B474B1"/>
    <w:rsid w:val="00B47D86"/>
    <w:rsid w:val="00B504AF"/>
    <w:rsid w:val="00B50D6D"/>
    <w:rsid w:val="00B515B7"/>
    <w:rsid w:val="00B52A29"/>
    <w:rsid w:val="00B539EC"/>
    <w:rsid w:val="00B552E8"/>
    <w:rsid w:val="00B5566D"/>
    <w:rsid w:val="00B55D2F"/>
    <w:rsid w:val="00B56032"/>
    <w:rsid w:val="00B57580"/>
    <w:rsid w:val="00B57FEA"/>
    <w:rsid w:val="00B6003E"/>
    <w:rsid w:val="00B6070F"/>
    <w:rsid w:val="00B607BC"/>
    <w:rsid w:val="00B60B99"/>
    <w:rsid w:val="00B60C49"/>
    <w:rsid w:val="00B6166D"/>
    <w:rsid w:val="00B6352C"/>
    <w:rsid w:val="00B63561"/>
    <w:rsid w:val="00B63A40"/>
    <w:rsid w:val="00B6567B"/>
    <w:rsid w:val="00B6584D"/>
    <w:rsid w:val="00B65C5D"/>
    <w:rsid w:val="00B72B0F"/>
    <w:rsid w:val="00B73322"/>
    <w:rsid w:val="00B759AB"/>
    <w:rsid w:val="00B76914"/>
    <w:rsid w:val="00B76EEE"/>
    <w:rsid w:val="00B77584"/>
    <w:rsid w:val="00B77AE7"/>
    <w:rsid w:val="00B801BE"/>
    <w:rsid w:val="00B80308"/>
    <w:rsid w:val="00B813A0"/>
    <w:rsid w:val="00B816B2"/>
    <w:rsid w:val="00B821D0"/>
    <w:rsid w:val="00B82CD5"/>
    <w:rsid w:val="00B85D53"/>
    <w:rsid w:val="00B86C3A"/>
    <w:rsid w:val="00B93DA6"/>
    <w:rsid w:val="00B948B1"/>
    <w:rsid w:val="00B951F7"/>
    <w:rsid w:val="00B95DEA"/>
    <w:rsid w:val="00B969B2"/>
    <w:rsid w:val="00B96A95"/>
    <w:rsid w:val="00B97698"/>
    <w:rsid w:val="00BA056F"/>
    <w:rsid w:val="00BA0C22"/>
    <w:rsid w:val="00BA2137"/>
    <w:rsid w:val="00BA2187"/>
    <w:rsid w:val="00BA34AF"/>
    <w:rsid w:val="00BA3D43"/>
    <w:rsid w:val="00BA403E"/>
    <w:rsid w:val="00BA43CF"/>
    <w:rsid w:val="00BA47AE"/>
    <w:rsid w:val="00BA4F14"/>
    <w:rsid w:val="00BA5A3A"/>
    <w:rsid w:val="00BA5D02"/>
    <w:rsid w:val="00BA5FD9"/>
    <w:rsid w:val="00BB0D32"/>
    <w:rsid w:val="00BB12B4"/>
    <w:rsid w:val="00BB1969"/>
    <w:rsid w:val="00BB3C9B"/>
    <w:rsid w:val="00BB4A7C"/>
    <w:rsid w:val="00BB4B88"/>
    <w:rsid w:val="00BB522F"/>
    <w:rsid w:val="00BB5941"/>
    <w:rsid w:val="00BB61D6"/>
    <w:rsid w:val="00BB68CC"/>
    <w:rsid w:val="00BB6F99"/>
    <w:rsid w:val="00BB779C"/>
    <w:rsid w:val="00BC0880"/>
    <w:rsid w:val="00BC1554"/>
    <w:rsid w:val="00BC4435"/>
    <w:rsid w:val="00BC53F3"/>
    <w:rsid w:val="00BC5BC8"/>
    <w:rsid w:val="00BC6D39"/>
    <w:rsid w:val="00BC755F"/>
    <w:rsid w:val="00BC784B"/>
    <w:rsid w:val="00BC7AC0"/>
    <w:rsid w:val="00BD00D8"/>
    <w:rsid w:val="00BD0A74"/>
    <w:rsid w:val="00BD3BBA"/>
    <w:rsid w:val="00BD445F"/>
    <w:rsid w:val="00BD44E1"/>
    <w:rsid w:val="00BD5EA7"/>
    <w:rsid w:val="00BD6106"/>
    <w:rsid w:val="00BD652C"/>
    <w:rsid w:val="00BD66C7"/>
    <w:rsid w:val="00BD6AAE"/>
    <w:rsid w:val="00BD7A83"/>
    <w:rsid w:val="00BE0116"/>
    <w:rsid w:val="00BE0393"/>
    <w:rsid w:val="00BE0448"/>
    <w:rsid w:val="00BE055B"/>
    <w:rsid w:val="00BE0A4E"/>
    <w:rsid w:val="00BE1CE0"/>
    <w:rsid w:val="00BE1CE7"/>
    <w:rsid w:val="00BE24E0"/>
    <w:rsid w:val="00BE29D3"/>
    <w:rsid w:val="00BE2E34"/>
    <w:rsid w:val="00BE3213"/>
    <w:rsid w:val="00BE403A"/>
    <w:rsid w:val="00BE436A"/>
    <w:rsid w:val="00BE464C"/>
    <w:rsid w:val="00BE47E8"/>
    <w:rsid w:val="00BE4905"/>
    <w:rsid w:val="00BE4C5F"/>
    <w:rsid w:val="00BE50B2"/>
    <w:rsid w:val="00BE6375"/>
    <w:rsid w:val="00BE6519"/>
    <w:rsid w:val="00BF28AE"/>
    <w:rsid w:val="00BF28D5"/>
    <w:rsid w:val="00BF2CB8"/>
    <w:rsid w:val="00BF3AC3"/>
    <w:rsid w:val="00BF4C8D"/>
    <w:rsid w:val="00BF4FD2"/>
    <w:rsid w:val="00BF53A6"/>
    <w:rsid w:val="00BF599B"/>
    <w:rsid w:val="00BF6028"/>
    <w:rsid w:val="00BF60F4"/>
    <w:rsid w:val="00BF6BC6"/>
    <w:rsid w:val="00BF6D16"/>
    <w:rsid w:val="00BF7541"/>
    <w:rsid w:val="00BF7825"/>
    <w:rsid w:val="00C00289"/>
    <w:rsid w:val="00C00924"/>
    <w:rsid w:val="00C00A31"/>
    <w:rsid w:val="00C04069"/>
    <w:rsid w:val="00C0416E"/>
    <w:rsid w:val="00C054E5"/>
    <w:rsid w:val="00C1006B"/>
    <w:rsid w:val="00C10887"/>
    <w:rsid w:val="00C11005"/>
    <w:rsid w:val="00C12285"/>
    <w:rsid w:val="00C13114"/>
    <w:rsid w:val="00C1325E"/>
    <w:rsid w:val="00C1369C"/>
    <w:rsid w:val="00C136C6"/>
    <w:rsid w:val="00C1398F"/>
    <w:rsid w:val="00C15705"/>
    <w:rsid w:val="00C15C47"/>
    <w:rsid w:val="00C15EAD"/>
    <w:rsid w:val="00C168D2"/>
    <w:rsid w:val="00C176E7"/>
    <w:rsid w:val="00C2075E"/>
    <w:rsid w:val="00C21A14"/>
    <w:rsid w:val="00C21DB3"/>
    <w:rsid w:val="00C229A5"/>
    <w:rsid w:val="00C2460C"/>
    <w:rsid w:val="00C24792"/>
    <w:rsid w:val="00C248ED"/>
    <w:rsid w:val="00C25274"/>
    <w:rsid w:val="00C257A9"/>
    <w:rsid w:val="00C26825"/>
    <w:rsid w:val="00C26DB3"/>
    <w:rsid w:val="00C27A81"/>
    <w:rsid w:val="00C27C94"/>
    <w:rsid w:val="00C3035E"/>
    <w:rsid w:val="00C3075F"/>
    <w:rsid w:val="00C325BE"/>
    <w:rsid w:val="00C32991"/>
    <w:rsid w:val="00C33356"/>
    <w:rsid w:val="00C33E6C"/>
    <w:rsid w:val="00C346AC"/>
    <w:rsid w:val="00C348AD"/>
    <w:rsid w:val="00C353A0"/>
    <w:rsid w:val="00C36572"/>
    <w:rsid w:val="00C365DD"/>
    <w:rsid w:val="00C36A60"/>
    <w:rsid w:val="00C41377"/>
    <w:rsid w:val="00C43402"/>
    <w:rsid w:val="00C43D0E"/>
    <w:rsid w:val="00C43EB0"/>
    <w:rsid w:val="00C446DB"/>
    <w:rsid w:val="00C44869"/>
    <w:rsid w:val="00C44B51"/>
    <w:rsid w:val="00C4528D"/>
    <w:rsid w:val="00C452F2"/>
    <w:rsid w:val="00C46204"/>
    <w:rsid w:val="00C473EE"/>
    <w:rsid w:val="00C47F86"/>
    <w:rsid w:val="00C51985"/>
    <w:rsid w:val="00C5226B"/>
    <w:rsid w:val="00C533B3"/>
    <w:rsid w:val="00C54621"/>
    <w:rsid w:val="00C54F6A"/>
    <w:rsid w:val="00C55307"/>
    <w:rsid w:val="00C558E2"/>
    <w:rsid w:val="00C563BD"/>
    <w:rsid w:val="00C56A5D"/>
    <w:rsid w:val="00C615C8"/>
    <w:rsid w:val="00C61FDB"/>
    <w:rsid w:val="00C644B1"/>
    <w:rsid w:val="00C646DE"/>
    <w:rsid w:val="00C6504C"/>
    <w:rsid w:val="00C65BBF"/>
    <w:rsid w:val="00C66A29"/>
    <w:rsid w:val="00C66E73"/>
    <w:rsid w:val="00C70365"/>
    <w:rsid w:val="00C704E4"/>
    <w:rsid w:val="00C712A7"/>
    <w:rsid w:val="00C72B9C"/>
    <w:rsid w:val="00C72C27"/>
    <w:rsid w:val="00C73082"/>
    <w:rsid w:val="00C74264"/>
    <w:rsid w:val="00C74761"/>
    <w:rsid w:val="00C75988"/>
    <w:rsid w:val="00C76521"/>
    <w:rsid w:val="00C80882"/>
    <w:rsid w:val="00C80B18"/>
    <w:rsid w:val="00C80B23"/>
    <w:rsid w:val="00C82F2B"/>
    <w:rsid w:val="00C82F7C"/>
    <w:rsid w:val="00C838AD"/>
    <w:rsid w:val="00C83A2F"/>
    <w:rsid w:val="00C84675"/>
    <w:rsid w:val="00C84C7E"/>
    <w:rsid w:val="00C850FE"/>
    <w:rsid w:val="00C85275"/>
    <w:rsid w:val="00C85609"/>
    <w:rsid w:val="00C865B3"/>
    <w:rsid w:val="00C86D7C"/>
    <w:rsid w:val="00C87C10"/>
    <w:rsid w:val="00C90070"/>
    <w:rsid w:val="00C90755"/>
    <w:rsid w:val="00C90EF0"/>
    <w:rsid w:val="00C913E6"/>
    <w:rsid w:val="00C91D68"/>
    <w:rsid w:val="00C922BC"/>
    <w:rsid w:val="00C92717"/>
    <w:rsid w:val="00C92A61"/>
    <w:rsid w:val="00C963D3"/>
    <w:rsid w:val="00C96F0D"/>
    <w:rsid w:val="00C97DBA"/>
    <w:rsid w:val="00CA0CBC"/>
    <w:rsid w:val="00CA1243"/>
    <w:rsid w:val="00CA2335"/>
    <w:rsid w:val="00CA4162"/>
    <w:rsid w:val="00CA47DC"/>
    <w:rsid w:val="00CA5B7F"/>
    <w:rsid w:val="00CB0092"/>
    <w:rsid w:val="00CB0F14"/>
    <w:rsid w:val="00CB20F0"/>
    <w:rsid w:val="00CB2283"/>
    <w:rsid w:val="00CB2AF1"/>
    <w:rsid w:val="00CB2B03"/>
    <w:rsid w:val="00CB47A8"/>
    <w:rsid w:val="00CB4BF8"/>
    <w:rsid w:val="00CB5FE8"/>
    <w:rsid w:val="00CB6829"/>
    <w:rsid w:val="00CB7789"/>
    <w:rsid w:val="00CC19D7"/>
    <w:rsid w:val="00CC21E9"/>
    <w:rsid w:val="00CC28AB"/>
    <w:rsid w:val="00CC2B47"/>
    <w:rsid w:val="00CC590C"/>
    <w:rsid w:val="00CC68B8"/>
    <w:rsid w:val="00CC791C"/>
    <w:rsid w:val="00CD2AFD"/>
    <w:rsid w:val="00CD2B80"/>
    <w:rsid w:val="00CD423C"/>
    <w:rsid w:val="00CD49AC"/>
    <w:rsid w:val="00CD5815"/>
    <w:rsid w:val="00CD63DA"/>
    <w:rsid w:val="00CD6657"/>
    <w:rsid w:val="00CE2D0B"/>
    <w:rsid w:val="00CE31E4"/>
    <w:rsid w:val="00CE378E"/>
    <w:rsid w:val="00CE4A10"/>
    <w:rsid w:val="00CE5E65"/>
    <w:rsid w:val="00CE620C"/>
    <w:rsid w:val="00CE62F2"/>
    <w:rsid w:val="00CE66B6"/>
    <w:rsid w:val="00CE6A6E"/>
    <w:rsid w:val="00CE7051"/>
    <w:rsid w:val="00CF0B9D"/>
    <w:rsid w:val="00CF14E9"/>
    <w:rsid w:val="00CF2977"/>
    <w:rsid w:val="00CF46E7"/>
    <w:rsid w:val="00CF5659"/>
    <w:rsid w:val="00CF760D"/>
    <w:rsid w:val="00D00BFA"/>
    <w:rsid w:val="00D01637"/>
    <w:rsid w:val="00D01ACB"/>
    <w:rsid w:val="00D02172"/>
    <w:rsid w:val="00D0300C"/>
    <w:rsid w:val="00D03105"/>
    <w:rsid w:val="00D032EF"/>
    <w:rsid w:val="00D033B8"/>
    <w:rsid w:val="00D03B0F"/>
    <w:rsid w:val="00D052C9"/>
    <w:rsid w:val="00D077E6"/>
    <w:rsid w:val="00D078AD"/>
    <w:rsid w:val="00D07A14"/>
    <w:rsid w:val="00D07A26"/>
    <w:rsid w:val="00D1098F"/>
    <w:rsid w:val="00D12419"/>
    <w:rsid w:val="00D13C34"/>
    <w:rsid w:val="00D13FE8"/>
    <w:rsid w:val="00D1454A"/>
    <w:rsid w:val="00D14FE7"/>
    <w:rsid w:val="00D15161"/>
    <w:rsid w:val="00D153C4"/>
    <w:rsid w:val="00D15A28"/>
    <w:rsid w:val="00D16798"/>
    <w:rsid w:val="00D16C44"/>
    <w:rsid w:val="00D16F15"/>
    <w:rsid w:val="00D17B7B"/>
    <w:rsid w:val="00D17D36"/>
    <w:rsid w:val="00D20F4D"/>
    <w:rsid w:val="00D22B87"/>
    <w:rsid w:val="00D22FF1"/>
    <w:rsid w:val="00D23691"/>
    <w:rsid w:val="00D2393D"/>
    <w:rsid w:val="00D24A0F"/>
    <w:rsid w:val="00D253E1"/>
    <w:rsid w:val="00D25B22"/>
    <w:rsid w:val="00D25BAD"/>
    <w:rsid w:val="00D26010"/>
    <w:rsid w:val="00D262A9"/>
    <w:rsid w:val="00D26C73"/>
    <w:rsid w:val="00D27527"/>
    <w:rsid w:val="00D276CA"/>
    <w:rsid w:val="00D3000B"/>
    <w:rsid w:val="00D305E7"/>
    <w:rsid w:val="00D30783"/>
    <w:rsid w:val="00D314C3"/>
    <w:rsid w:val="00D31EAD"/>
    <w:rsid w:val="00D323E1"/>
    <w:rsid w:val="00D34425"/>
    <w:rsid w:val="00D35253"/>
    <w:rsid w:val="00D359C0"/>
    <w:rsid w:val="00D407C5"/>
    <w:rsid w:val="00D41FBE"/>
    <w:rsid w:val="00D42C0D"/>
    <w:rsid w:val="00D43660"/>
    <w:rsid w:val="00D43733"/>
    <w:rsid w:val="00D4394D"/>
    <w:rsid w:val="00D4410C"/>
    <w:rsid w:val="00D44B91"/>
    <w:rsid w:val="00D45C0E"/>
    <w:rsid w:val="00D4619E"/>
    <w:rsid w:val="00D46B0F"/>
    <w:rsid w:val="00D46C02"/>
    <w:rsid w:val="00D478A9"/>
    <w:rsid w:val="00D47C6A"/>
    <w:rsid w:val="00D50615"/>
    <w:rsid w:val="00D507E2"/>
    <w:rsid w:val="00D5150C"/>
    <w:rsid w:val="00D53E19"/>
    <w:rsid w:val="00D53E4E"/>
    <w:rsid w:val="00D54717"/>
    <w:rsid w:val="00D551B7"/>
    <w:rsid w:val="00D5553A"/>
    <w:rsid w:val="00D555F1"/>
    <w:rsid w:val="00D55B65"/>
    <w:rsid w:val="00D5602D"/>
    <w:rsid w:val="00D57DAA"/>
    <w:rsid w:val="00D608B3"/>
    <w:rsid w:val="00D63253"/>
    <w:rsid w:val="00D634C1"/>
    <w:rsid w:val="00D63BBE"/>
    <w:rsid w:val="00D6489D"/>
    <w:rsid w:val="00D64CA0"/>
    <w:rsid w:val="00D6612E"/>
    <w:rsid w:val="00D67CE8"/>
    <w:rsid w:val="00D703DF"/>
    <w:rsid w:val="00D70A78"/>
    <w:rsid w:val="00D7114E"/>
    <w:rsid w:val="00D71C9F"/>
    <w:rsid w:val="00D71CB3"/>
    <w:rsid w:val="00D725A7"/>
    <w:rsid w:val="00D7345B"/>
    <w:rsid w:val="00D73B7D"/>
    <w:rsid w:val="00D7484D"/>
    <w:rsid w:val="00D754CD"/>
    <w:rsid w:val="00D75841"/>
    <w:rsid w:val="00D766AB"/>
    <w:rsid w:val="00D77610"/>
    <w:rsid w:val="00D8120C"/>
    <w:rsid w:val="00D817D5"/>
    <w:rsid w:val="00D81ACD"/>
    <w:rsid w:val="00D82557"/>
    <w:rsid w:val="00D83486"/>
    <w:rsid w:val="00D83928"/>
    <w:rsid w:val="00D851A0"/>
    <w:rsid w:val="00D8531A"/>
    <w:rsid w:val="00D8630B"/>
    <w:rsid w:val="00D905D3"/>
    <w:rsid w:val="00D90F42"/>
    <w:rsid w:val="00D91D04"/>
    <w:rsid w:val="00D9270A"/>
    <w:rsid w:val="00D937BA"/>
    <w:rsid w:val="00D939EE"/>
    <w:rsid w:val="00D94295"/>
    <w:rsid w:val="00D94856"/>
    <w:rsid w:val="00D9491C"/>
    <w:rsid w:val="00D96233"/>
    <w:rsid w:val="00D977D4"/>
    <w:rsid w:val="00DA12B7"/>
    <w:rsid w:val="00DA2882"/>
    <w:rsid w:val="00DA29A0"/>
    <w:rsid w:val="00DA3AD3"/>
    <w:rsid w:val="00DA4848"/>
    <w:rsid w:val="00DA4B91"/>
    <w:rsid w:val="00DA530F"/>
    <w:rsid w:val="00DA549B"/>
    <w:rsid w:val="00DB15A2"/>
    <w:rsid w:val="00DB1B35"/>
    <w:rsid w:val="00DB1BBC"/>
    <w:rsid w:val="00DB3CB0"/>
    <w:rsid w:val="00DB404C"/>
    <w:rsid w:val="00DB45E8"/>
    <w:rsid w:val="00DB4C16"/>
    <w:rsid w:val="00DB4F78"/>
    <w:rsid w:val="00DB57BB"/>
    <w:rsid w:val="00DB73CB"/>
    <w:rsid w:val="00DC23B5"/>
    <w:rsid w:val="00DC2716"/>
    <w:rsid w:val="00DC368A"/>
    <w:rsid w:val="00DC431E"/>
    <w:rsid w:val="00DC4934"/>
    <w:rsid w:val="00DC63AD"/>
    <w:rsid w:val="00DC6705"/>
    <w:rsid w:val="00DC67A1"/>
    <w:rsid w:val="00DC771F"/>
    <w:rsid w:val="00DD0065"/>
    <w:rsid w:val="00DD1607"/>
    <w:rsid w:val="00DD2E08"/>
    <w:rsid w:val="00DD32DC"/>
    <w:rsid w:val="00DD3333"/>
    <w:rsid w:val="00DD34B6"/>
    <w:rsid w:val="00DD35F2"/>
    <w:rsid w:val="00DD3B36"/>
    <w:rsid w:val="00DD3D34"/>
    <w:rsid w:val="00DD488B"/>
    <w:rsid w:val="00DD4CD9"/>
    <w:rsid w:val="00DD5111"/>
    <w:rsid w:val="00DD576F"/>
    <w:rsid w:val="00DD6696"/>
    <w:rsid w:val="00DD6C49"/>
    <w:rsid w:val="00DD6F88"/>
    <w:rsid w:val="00DD7DA0"/>
    <w:rsid w:val="00DE02E2"/>
    <w:rsid w:val="00DE0FF0"/>
    <w:rsid w:val="00DE2C85"/>
    <w:rsid w:val="00DE3C5C"/>
    <w:rsid w:val="00DE45B8"/>
    <w:rsid w:val="00DE535D"/>
    <w:rsid w:val="00DE6154"/>
    <w:rsid w:val="00DE72D2"/>
    <w:rsid w:val="00DF09B3"/>
    <w:rsid w:val="00DF10B0"/>
    <w:rsid w:val="00DF22BE"/>
    <w:rsid w:val="00DF256F"/>
    <w:rsid w:val="00DF275A"/>
    <w:rsid w:val="00DF2899"/>
    <w:rsid w:val="00DF3D59"/>
    <w:rsid w:val="00DF65B4"/>
    <w:rsid w:val="00DF76DE"/>
    <w:rsid w:val="00DF7AF9"/>
    <w:rsid w:val="00DF7FFB"/>
    <w:rsid w:val="00E00B7B"/>
    <w:rsid w:val="00E0281E"/>
    <w:rsid w:val="00E02E0E"/>
    <w:rsid w:val="00E0622E"/>
    <w:rsid w:val="00E06BDF"/>
    <w:rsid w:val="00E06C3C"/>
    <w:rsid w:val="00E119AF"/>
    <w:rsid w:val="00E13698"/>
    <w:rsid w:val="00E14CED"/>
    <w:rsid w:val="00E15379"/>
    <w:rsid w:val="00E15763"/>
    <w:rsid w:val="00E20C1B"/>
    <w:rsid w:val="00E22291"/>
    <w:rsid w:val="00E22502"/>
    <w:rsid w:val="00E22948"/>
    <w:rsid w:val="00E22E8E"/>
    <w:rsid w:val="00E23BF1"/>
    <w:rsid w:val="00E2406B"/>
    <w:rsid w:val="00E24D1A"/>
    <w:rsid w:val="00E25192"/>
    <w:rsid w:val="00E2583F"/>
    <w:rsid w:val="00E25E3D"/>
    <w:rsid w:val="00E26831"/>
    <w:rsid w:val="00E31138"/>
    <w:rsid w:val="00E32760"/>
    <w:rsid w:val="00E332F1"/>
    <w:rsid w:val="00E3410D"/>
    <w:rsid w:val="00E36DF0"/>
    <w:rsid w:val="00E37C6A"/>
    <w:rsid w:val="00E37D42"/>
    <w:rsid w:val="00E37DD8"/>
    <w:rsid w:val="00E4196A"/>
    <w:rsid w:val="00E4200C"/>
    <w:rsid w:val="00E428A5"/>
    <w:rsid w:val="00E4428B"/>
    <w:rsid w:val="00E45D4E"/>
    <w:rsid w:val="00E46AED"/>
    <w:rsid w:val="00E46FE6"/>
    <w:rsid w:val="00E47B2D"/>
    <w:rsid w:val="00E50685"/>
    <w:rsid w:val="00E50A34"/>
    <w:rsid w:val="00E5100C"/>
    <w:rsid w:val="00E52018"/>
    <w:rsid w:val="00E523D9"/>
    <w:rsid w:val="00E52461"/>
    <w:rsid w:val="00E53E09"/>
    <w:rsid w:val="00E54B64"/>
    <w:rsid w:val="00E54C71"/>
    <w:rsid w:val="00E5561E"/>
    <w:rsid w:val="00E55EBF"/>
    <w:rsid w:val="00E56545"/>
    <w:rsid w:val="00E5779D"/>
    <w:rsid w:val="00E602FD"/>
    <w:rsid w:val="00E60BA5"/>
    <w:rsid w:val="00E62045"/>
    <w:rsid w:val="00E623F2"/>
    <w:rsid w:val="00E62B1C"/>
    <w:rsid w:val="00E62CF5"/>
    <w:rsid w:val="00E65EF3"/>
    <w:rsid w:val="00E6669A"/>
    <w:rsid w:val="00E67230"/>
    <w:rsid w:val="00E679AE"/>
    <w:rsid w:val="00E704E0"/>
    <w:rsid w:val="00E70FBF"/>
    <w:rsid w:val="00E7167F"/>
    <w:rsid w:val="00E71B81"/>
    <w:rsid w:val="00E7319E"/>
    <w:rsid w:val="00E73496"/>
    <w:rsid w:val="00E73758"/>
    <w:rsid w:val="00E73940"/>
    <w:rsid w:val="00E74B79"/>
    <w:rsid w:val="00E75252"/>
    <w:rsid w:val="00E768F4"/>
    <w:rsid w:val="00E76DFA"/>
    <w:rsid w:val="00E808D8"/>
    <w:rsid w:val="00E81141"/>
    <w:rsid w:val="00E82D7C"/>
    <w:rsid w:val="00E846F4"/>
    <w:rsid w:val="00E84FA9"/>
    <w:rsid w:val="00E856BE"/>
    <w:rsid w:val="00E8629A"/>
    <w:rsid w:val="00E90A51"/>
    <w:rsid w:val="00E90AF8"/>
    <w:rsid w:val="00E92419"/>
    <w:rsid w:val="00E92BD4"/>
    <w:rsid w:val="00E952DD"/>
    <w:rsid w:val="00E9767B"/>
    <w:rsid w:val="00E976E8"/>
    <w:rsid w:val="00EA052E"/>
    <w:rsid w:val="00EA091D"/>
    <w:rsid w:val="00EA44F4"/>
    <w:rsid w:val="00EA53BE"/>
    <w:rsid w:val="00EA6268"/>
    <w:rsid w:val="00EA6543"/>
    <w:rsid w:val="00EB0CD7"/>
    <w:rsid w:val="00EB2180"/>
    <w:rsid w:val="00EB38A2"/>
    <w:rsid w:val="00EB38E2"/>
    <w:rsid w:val="00EB42A2"/>
    <w:rsid w:val="00EB5084"/>
    <w:rsid w:val="00EB7988"/>
    <w:rsid w:val="00EC0E8B"/>
    <w:rsid w:val="00EC1553"/>
    <w:rsid w:val="00EC2F0D"/>
    <w:rsid w:val="00EC3BC9"/>
    <w:rsid w:val="00EC3C1E"/>
    <w:rsid w:val="00EC450B"/>
    <w:rsid w:val="00EC4C31"/>
    <w:rsid w:val="00ED04ED"/>
    <w:rsid w:val="00ED0958"/>
    <w:rsid w:val="00ED275D"/>
    <w:rsid w:val="00ED2A3D"/>
    <w:rsid w:val="00ED3BB9"/>
    <w:rsid w:val="00ED4F85"/>
    <w:rsid w:val="00ED5D67"/>
    <w:rsid w:val="00ED5E72"/>
    <w:rsid w:val="00ED736B"/>
    <w:rsid w:val="00EE0764"/>
    <w:rsid w:val="00EE1045"/>
    <w:rsid w:val="00EE1B50"/>
    <w:rsid w:val="00EE1D57"/>
    <w:rsid w:val="00EE2E6B"/>
    <w:rsid w:val="00EE4E58"/>
    <w:rsid w:val="00EE56F9"/>
    <w:rsid w:val="00EE5B2A"/>
    <w:rsid w:val="00EE5B67"/>
    <w:rsid w:val="00EE63A4"/>
    <w:rsid w:val="00EE7006"/>
    <w:rsid w:val="00EF03B3"/>
    <w:rsid w:val="00EF0819"/>
    <w:rsid w:val="00EF2357"/>
    <w:rsid w:val="00EF2933"/>
    <w:rsid w:val="00EF2DF2"/>
    <w:rsid w:val="00EF41D9"/>
    <w:rsid w:val="00EF55F6"/>
    <w:rsid w:val="00EF592A"/>
    <w:rsid w:val="00EF59E2"/>
    <w:rsid w:val="00EF5A5D"/>
    <w:rsid w:val="00EF5D66"/>
    <w:rsid w:val="00EF7B65"/>
    <w:rsid w:val="00F01160"/>
    <w:rsid w:val="00F01423"/>
    <w:rsid w:val="00F0145F"/>
    <w:rsid w:val="00F019A8"/>
    <w:rsid w:val="00F03307"/>
    <w:rsid w:val="00F03644"/>
    <w:rsid w:val="00F03D50"/>
    <w:rsid w:val="00F04B01"/>
    <w:rsid w:val="00F10EB6"/>
    <w:rsid w:val="00F110E6"/>
    <w:rsid w:val="00F11CD5"/>
    <w:rsid w:val="00F11F7B"/>
    <w:rsid w:val="00F129BA"/>
    <w:rsid w:val="00F12B18"/>
    <w:rsid w:val="00F12C3C"/>
    <w:rsid w:val="00F13818"/>
    <w:rsid w:val="00F14111"/>
    <w:rsid w:val="00F14397"/>
    <w:rsid w:val="00F17067"/>
    <w:rsid w:val="00F21313"/>
    <w:rsid w:val="00F22673"/>
    <w:rsid w:val="00F2349A"/>
    <w:rsid w:val="00F2399E"/>
    <w:rsid w:val="00F2677A"/>
    <w:rsid w:val="00F311F1"/>
    <w:rsid w:val="00F312D6"/>
    <w:rsid w:val="00F31451"/>
    <w:rsid w:val="00F31494"/>
    <w:rsid w:val="00F31D9B"/>
    <w:rsid w:val="00F32C36"/>
    <w:rsid w:val="00F32C38"/>
    <w:rsid w:val="00F32C3B"/>
    <w:rsid w:val="00F336F9"/>
    <w:rsid w:val="00F347D9"/>
    <w:rsid w:val="00F34C31"/>
    <w:rsid w:val="00F34F04"/>
    <w:rsid w:val="00F35D76"/>
    <w:rsid w:val="00F35FE8"/>
    <w:rsid w:val="00F36D22"/>
    <w:rsid w:val="00F371DF"/>
    <w:rsid w:val="00F37C02"/>
    <w:rsid w:val="00F402C4"/>
    <w:rsid w:val="00F412D1"/>
    <w:rsid w:val="00F414CD"/>
    <w:rsid w:val="00F417F4"/>
    <w:rsid w:val="00F419AB"/>
    <w:rsid w:val="00F419D0"/>
    <w:rsid w:val="00F43280"/>
    <w:rsid w:val="00F43608"/>
    <w:rsid w:val="00F43B92"/>
    <w:rsid w:val="00F44070"/>
    <w:rsid w:val="00F45017"/>
    <w:rsid w:val="00F459AF"/>
    <w:rsid w:val="00F4714A"/>
    <w:rsid w:val="00F50BCC"/>
    <w:rsid w:val="00F51ABB"/>
    <w:rsid w:val="00F529B0"/>
    <w:rsid w:val="00F52B7A"/>
    <w:rsid w:val="00F532BE"/>
    <w:rsid w:val="00F548A7"/>
    <w:rsid w:val="00F55065"/>
    <w:rsid w:val="00F55477"/>
    <w:rsid w:val="00F5737D"/>
    <w:rsid w:val="00F577DC"/>
    <w:rsid w:val="00F57966"/>
    <w:rsid w:val="00F60733"/>
    <w:rsid w:val="00F6079C"/>
    <w:rsid w:val="00F637CC"/>
    <w:rsid w:val="00F6787C"/>
    <w:rsid w:val="00F6787F"/>
    <w:rsid w:val="00F678C8"/>
    <w:rsid w:val="00F70527"/>
    <w:rsid w:val="00F7123A"/>
    <w:rsid w:val="00F7128D"/>
    <w:rsid w:val="00F71B62"/>
    <w:rsid w:val="00F71B83"/>
    <w:rsid w:val="00F71F51"/>
    <w:rsid w:val="00F73D64"/>
    <w:rsid w:val="00F73FE9"/>
    <w:rsid w:val="00F74803"/>
    <w:rsid w:val="00F74B75"/>
    <w:rsid w:val="00F74EBE"/>
    <w:rsid w:val="00F74ECF"/>
    <w:rsid w:val="00F75311"/>
    <w:rsid w:val="00F805F7"/>
    <w:rsid w:val="00F86343"/>
    <w:rsid w:val="00F87658"/>
    <w:rsid w:val="00F90731"/>
    <w:rsid w:val="00F90EB5"/>
    <w:rsid w:val="00F9293D"/>
    <w:rsid w:val="00F92E30"/>
    <w:rsid w:val="00F931F1"/>
    <w:rsid w:val="00F93489"/>
    <w:rsid w:val="00F93ADB"/>
    <w:rsid w:val="00F94055"/>
    <w:rsid w:val="00F94532"/>
    <w:rsid w:val="00F95109"/>
    <w:rsid w:val="00F96504"/>
    <w:rsid w:val="00FA04C8"/>
    <w:rsid w:val="00FA0815"/>
    <w:rsid w:val="00FA3035"/>
    <w:rsid w:val="00FA51A6"/>
    <w:rsid w:val="00FA5910"/>
    <w:rsid w:val="00FA59C8"/>
    <w:rsid w:val="00FA612B"/>
    <w:rsid w:val="00FA684F"/>
    <w:rsid w:val="00FA7AF9"/>
    <w:rsid w:val="00FB1F58"/>
    <w:rsid w:val="00FB2CE0"/>
    <w:rsid w:val="00FB3802"/>
    <w:rsid w:val="00FB3942"/>
    <w:rsid w:val="00FB3F6F"/>
    <w:rsid w:val="00FB4BF9"/>
    <w:rsid w:val="00FB7D3D"/>
    <w:rsid w:val="00FB7E4D"/>
    <w:rsid w:val="00FC0462"/>
    <w:rsid w:val="00FC0641"/>
    <w:rsid w:val="00FC1C6F"/>
    <w:rsid w:val="00FC2B57"/>
    <w:rsid w:val="00FC2F41"/>
    <w:rsid w:val="00FC4AEC"/>
    <w:rsid w:val="00FC5FED"/>
    <w:rsid w:val="00FC6CE1"/>
    <w:rsid w:val="00FC781E"/>
    <w:rsid w:val="00FD09BB"/>
    <w:rsid w:val="00FD1027"/>
    <w:rsid w:val="00FD14BF"/>
    <w:rsid w:val="00FD20A9"/>
    <w:rsid w:val="00FD26AB"/>
    <w:rsid w:val="00FD26DA"/>
    <w:rsid w:val="00FD33DB"/>
    <w:rsid w:val="00FD632B"/>
    <w:rsid w:val="00FD786E"/>
    <w:rsid w:val="00FD7E86"/>
    <w:rsid w:val="00FE0B89"/>
    <w:rsid w:val="00FE14AA"/>
    <w:rsid w:val="00FE18D2"/>
    <w:rsid w:val="00FE31BF"/>
    <w:rsid w:val="00FE391C"/>
    <w:rsid w:val="00FE482E"/>
    <w:rsid w:val="00FE5002"/>
    <w:rsid w:val="00FE5220"/>
    <w:rsid w:val="00FE661F"/>
    <w:rsid w:val="00FE7627"/>
    <w:rsid w:val="00FF0169"/>
    <w:rsid w:val="00FF0310"/>
    <w:rsid w:val="00FF0FBE"/>
    <w:rsid w:val="00FF212F"/>
    <w:rsid w:val="00FF2255"/>
    <w:rsid w:val="00FF2BFA"/>
    <w:rsid w:val="00FF4BCF"/>
    <w:rsid w:val="00FF4DE3"/>
    <w:rsid w:val="00FF64A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C3D9"/>
  <w15:chartTrackingRefBased/>
  <w15:docId w15:val="{EF671F87-0292-FB45-8FAB-C94914FC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11E"/>
    <w:pPr>
      <w:spacing w:after="200" w:line="276" w:lineRule="auto"/>
    </w:pPr>
    <w:rPr>
      <w:sz w:val="22"/>
      <w:szCs w:val="22"/>
      <w:lang w:val="en-US"/>
    </w:rPr>
  </w:style>
  <w:style w:type="paragraph" w:styleId="Heading1">
    <w:name w:val="heading 1"/>
    <w:basedOn w:val="Normal"/>
    <w:next w:val="Normal"/>
    <w:link w:val="Heading1Char"/>
    <w:uiPriority w:val="9"/>
    <w:qFormat/>
    <w:rsid w:val="00B6070F"/>
    <w:pPr>
      <w:keepNext/>
      <w:keepLines/>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B6070F"/>
    <w:pPr>
      <w:keepNext/>
      <w:keepLines/>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B6070F"/>
    <w:pPr>
      <w:keepNext/>
      <w:keepLines/>
      <w:spacing w:before="200" w:after="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0A79F0"/>
    <w:pPr>
      <w:keepNext/>
      <w:spacing w:before="240" w:after="6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070F"/>
    <w:rPr>
      <w:rFonts w:ascii="Cambria" w:eastAsia="Times New Roman" w:hAnsi="Cambria" w:cs="Times New Roman"/>
      <w:b/>
      <w:bCs/>
      <w:color w:val="365F91"/>
      <w:sz w:val="28"/>
      <w:szCs w:val="28"/>
    </w:rPr>
  </w:style>
  <w:style w:type="character" w:customStyle="1" w:styleId="Heading2Char">
    <w:name w:val="Heading 2 Char"/>
    <w:link w:val="Heading2"/>
    <w:uiPriority w:val="9"/>
    <w:rsid w:val="00B6070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B6070F"/>
    <w:rPr>
      <w:rFonts w:ascii="Cambria" w:eastAsia="Times New Roman" w:hAnsi="Cambria" w:cs="Times New Roman"/>
      <w:b/>
      <w:bCs/>
      <w:color w:val="4F81BD"/>
    </w:rPr>
  </w:style>
  <w:style w:type="paragraph" w:styleId="ListParagraph">
    <w:name w:val="List Paragraph"/>
    <w:basedOn w:val="Normal"/>
    <w:link w:val="ListParagraphChar"/>
    <w:uiPriority w:val="34"/>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39"/>
    <w:rsid w:val="00933C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C368A"/>
    <w:pPr>
      <w:spacing w:before="100" w:beforeAutospacing="1" w:after="100" w:afterAutospacing="1" w:line="240" w:lineRule="auto"/>
    </w:pPr>
    <w:rPr>
      <w:rFonts w:ascii="Times New Roman" w:hAnsi="Times New Roman"/>
      <w:sz w:val="24"/>
      <w:szCs w:val="24"/>
    </w:rPr>
  </w:style>
  <w:style w:type="paragraph" w:customStyle="1" w:styleId="Default">
    <w:name w:val="Default"/>
    <w:rsid w:val="005A2D7C"/>
    <w:pPr>
      <w:autoSpaceDE w:val="0"/>
      <w:autoSpaceDN w:val="0"/>
      <w:adjustRightInd w:val="0"/>
    </w:pPr>
    <w:rPr>
      <w:rFonts w:ascii="Times New Roman" w:hAnsi="Times New Roman"/>
      <w:color w:val="000000"/>
      <w:sz w:val="24"/>
      <w:szCs w:val="24"/>
      <w:lang w:val="en-US"/>
    </w:rPr>
  </w:style>
  <w:style w:type="character" w:styleId="Hyperlink">
    <w:name w:val="Hyperlink"/>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nhideWhenUsed/>
    <w:rsid w:val="008F29E3"/>
    <w:pPr>
      <w:tabs>
        <w:tab w:val="center" w:pos="4680"/>
        <w:tab w:val="right" w:pos="9360"/>
      </w:tabs>
      <w:spacing w:after="0" w:line="240" w:lineRule="auto"/>
    </w:pPr>
  </w:style>
  <w:style w:type="character" w:customStyle="1" w:styleId="FooterChar">
    <w:name w:val="Footer Char"/>
    <w:basedOn w:val="DefaultParagraphFont"/>
    <w:link w:val="Footer"/>
    <w:rsid w:val="008F29E3"/>
  </w:style>
  <w:style w:type="character" w:styleId="Strong">
    <w:name w:val="Strong"/>
    <w:uiPriority w:val="22"/>
    <w:qFormat/>
    <w:rsid w:val="00FF212F"/>
    <w:rPr>
      <w:b/>
      <w:bCs/>
    </w:rPr>
  </w:style>
  <w:style w:type="paragraph" w:styleId="TOC1">
    <w:name w:val="toc 1"/>
    <w:basedOn w:val="Normal"/>
    <w:next w:val="Normal"/>
    <w:autoRedefine/>
    <w:uiPriority w:val="39"/>
    <w:unhideWhenUsed/>
    <w:rsid w:val="008C6CC2"/>
    <w:pPr>
      <w:tabs>
        <w:tab w:val="left" w:pos="284"/>
        <w:tab w:val="right" w:leader="dot" w:pos="9345"/>
      </w:tabs>
      <w:snapToGrid w:val="0"/>
      <w:spacing w:before="120" w:after="120" w:line="288" w:lineRule="auto"/>
      <w:jc w:val="both"/>
    </w:pPr>
    <w:rPr>
      <w:rFonts w:ascii="Times New Roman" w:hAnsi="Times New Roman"/>
      <w:b/>
      <w:sz w:val="28"/>
    </w:rPr>
  </w:style>
  <w:style w:type="paragraph" w:styleId="TOC2">
    <w:name w:val="toc 2"/>
    <w:basedOn w:val="Normal"/>
    <w:next w:val="Normal"/>
    <w:autoRedefine/>
    <w:uiPriority w:val="39"/>
    <w:unhideWhenUsed/>
    <w:rsid w:val="00B65C5D"/>
    <w:pPr>
      <w:tabs>
        <w:tab w:val="left" w:pos="567"/>
        <w:tab w:val="right" w:leader="dot" w:pos="9345"/>
      </w:tabs>
      <w:snapToGrid w:val="0"/>
      <w:spacing w:before="120" w:after="120" w:line="288" w:lineRule="auto"/>
      <w:jc w:val="both"/>
    </w:pPr>
    <w:rPr>
      <w:rFonts w:ascii="Times New Roman" w:hAnsi="Times New Roman"/>
      <w:noProof/>
      <w:color w:val="000000"/>
      <w:sz w:val="26"/>
      <w:szCs w:val="26"/>
    </w:rPr>
  </w:style>
  <w:style w:type="paragraph" w:styleId="TOC3">
    <w:name w:val="toc 3"/>
    <w:basedOn w:val="Normal"/>
    <w:next w:val="Normal"/>
    <w:autoRedefine/>
    <w:uiPriority w:val="39"/>
    <w:unhideWhenUsed/>
    <w:rsid w:val="006B4527"/>
    <w:pPr>
      <w:tabs>
        <w:tab w:val="left" w:pos="709"/>
        <w:tab w:val="right" w:leader="dot" w:pos="9345"/>
      </w:tabs>
      <w:spacing w:before="120" w:after="0" w:line="271" w:lineRule="auto"/>
      <w:jc w:val="both"/>
    </w:pPr>
    <w:rPr>
      <w:rFonts w:ascii="Times New Roman" w:hAnsi="Times New Roman"/>
      <w:noProof/>
      <w:color w:val="000000"/>
      <w:sz w:val="26"/>
      <w:szCs w:val="26"/>
    </w:rPr>
  </w:style>
  <w:style w:type="character" w:styleId="CommentReference">
    <w:name w:val="annotation reference"/>
    <w:uiPriority w:val="99"/>
    <w:semiHidden/>
    <w:unhideWhenUsed/>
    <w:rsid w:val="007C2EAD"/>
    <w:rPr>
      <w:sz w:val="16"/>
      <w:szCs w:val="16"/>
    </w:rPr>
  </w:style>
  <w:style w:type="paragraph" w:styleId="CommentText">
    <w:name w:val="annotation text"/>
    <w:basedOn w:val="Normal"/>
    <w:link w:val="CommentTextChar"/>
    <w:uiPriority w:val="99"/>
    <w:semiHidden/>
    <w:unhideWhenUsed/>
    <w:rsid w:val="007C2EAD"/>
    <w:pPr>
      <w:spacing w:line="240" w:lineRule="auto"/>
    </w:pPr>
    <w:rPr>
      <w:sz w:val="20"/>
      <w:szCs w:val="20"/>
      <w:lang w:val="x-none" w:eastAsia="x-none"/>
    </w:rPr>
  </w:style>
  <w:style w:type="character" w:customStyle="1" w:styleId="CommentTextChar">
    <w:name w:val="Comment Text Char"/>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link w:val="CommentSubject"/>
    <w:uiPriority w:val="99"/>
    <w:semiHidden/>
    <w:rsid w:val="007C2EAD"/>
    <w:rPr>
      <w:b/>
      <w:bCs/>
      <w:sz w:val="20"/>
      <w:szCs w:val="20"/>
    </w:rPr>
  </w:style>
  <w:style w:type="paragraph" w:styleId="Title">
    <w:name w:val="Title"/>
    <w:basedOn w:val="Normal"/>
    <w:link w:val="TitleChar"/>
    <w:qFormat/>
    <w:rsid w:val="00A83041"/>
    <w:pPr>
      <w:spacing w:after="0" w:line="240" w:lineRule="auto"/>
      <w:jc w:val="center"/>
    </w:pPr>
    <w:rPr>
      <w:rFonts w:ascii="Times New Roman" w:hAnsi="Times New Roman"/>
      <w:b/>
      <w:bCs/>
      <w:sz w:val="28"/>
      <w:szCs w:val="28"/>
      <w:lang w:val="vi-VN" w:eastAsia="x-none"/>
    </w:rPr>
  </w:style>
  <w:style w:type="character" w:customStyle="1" w:styleId="TitleChar">
    <w:name w:val="Title Char"/>
    <w:link w:val="Title"/>
    <w:rsid w:val="00A83041"/>
    <w:rPr>
      <w:rFonts w:ascii="Times New Roman" w:eastAsia="Times New Roman" w:hAnsi="Times New Roman" w:cs="Times New Roman"/>
      <w:b/>
      <w:bCs/>
      <w:sz w:val="28"/>
      <w:szCs w:val="28"/>
      <w:lang w:val="vi-VN"/>
    </w:rPr>
  </w:style>
  <w:style w:type="character" w:styleId="PlaceholderText">
    <w:name w:val="Placeholder Tex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8A613D"/>
    <w:rPr>
      <w:rFonts w:ascii="Tahoma" w:hAnsi="Tahoma" w:cs="Tahoma"/>
      <w:sz w:val="16"/>
      <w:szCs w:val="16"/>
    </w:rPr>
  </w:style>
  <w:style w:type="paragraph" w:styleId="Revision">
    <w:name w:val="Revision"/>
    <w:hidden/>
    <w:uiPriority w:val="99"/>
    <w:semiHidden/>
    <w:rsid w:val="00503677"/>
    <w:rPr>
      <w:sz w:val="22"/>
      <w:szCs w:val="22"/>
      <w:lang w:val="en-US"/>
    </w:rPr>
  </w:style>
  <w:style w:type="paragraph" w:styleId="Caption">
    <w:name w:val="caption"/>
    <w:basedOn w:val="Normal"/>
    <w:next w:val="Normal"/>
    <w:unhideWhenUsed/>
    <w:qFormat/>
    <w:rsid w:val="00D63253"/>
    <w:pPr>
      <w:spacing w:line="240" w:lineRule="auto"/>
    </w:pPr>
    <w:rPr>
      <w:b/>
      <w:bCs/>
      <w:color w:val="4F81BD"/>
      <w:sz w:val="18"/>
      <w:szCs w:val="18"/>
    </w:rPr>
  </w:style>
  <w:style w:type="paragraph" w:styleId="TableofFigures">
    <w:name w:val="table of figures"/>
    <w:basedOn w:val="Normal"/>
    <w:next w:val="Normal"/>
    <w:uiPriority w:val="99"/>
    <w:unhideWhenUsed/>
    <w:rsid w:val="00D63253"/>
    <w:pPr>
      <w:spacing w:after="0"/>
    </w:pPr>
  </w:style>
  <w:style w:type="paragraph" w:styleId="TOCHeading">
    <w:name w:val="TOC Heading"/>
    <w:basedOn w:val="Heading1"/>
    <w:next w:val="Normal"/>
    <w:uiPriority w:val="39"/>
    <w:semiHidden/>
    <w:unhideWhenUsed/>
    <w:qFormat/>
    <w:rsid w:val="00F12C3C"/>
    <w:pPr>
      <w:outlineLvl w:val="9"/>
    </w:pPr>
  </w:style>
  <w:style w:type="paragraph" w:styleId="BodyText2">
    <w:name w:val="Body Text 2"/>
    <w:basedOn w:val="Normal"/>
    <w:link w:val="BodyText2Char"/>
    <w:semiHidden/>
    <w:rsid w:val="001112A9"/>
    <w:pPr>
      <w:spacing w:after="0" w:line="240" w:lineRule="auto"/>
      <w:jc w:val="both"/>
    </w:pPr>
    <w:rPr>
      <w:rFonts w:ascii=".VnTime" w:eastAsia="MS Mincho" w:hAnsi=".VnTime"/>
      <w:sz w:val="28"/>
      <w:szCs w:val="20"/>
      <w:lang w:val="x-none" w:eastAsia="ja-JP"/>
    </w:rPr>
  </w:style>
  <w:style w:type="character" w:customStyle="1" w:styleId="BodyText2Char">
    <w:name w:val="Body Text 2 Char"/>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lang w:val="x-none" w:eastAsia="x-none"/>
    </w:rPr>
  </w:style>
  <w:style w:type="character" w:customStyle="1" w:styleId="BodyText3Char">
    <w:name w:val="Body Text 3 Char"/>
    <w:link w:val="BodyText3"/>
    <w:uiPriority w:val="99"/>
    <w:rsid w:val="009D349E"/>
    <w:rPr>
      <w:sz w:val="16"/>
      <w:szCs w:val="16"/>
    </w:rPr>
  </w:style>
  <w:style w:type="paragraph" w:customStyle="1" w:styleId="ft5">
    <w:name w:val="ft5"/>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7">
    <w:name w:val="ft7"/>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8">
    <w:name w:val="ft8"/>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10">
    <w:name w:val="ft10"/>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12">
    <w:name w:val="ft12"/>
    <w:basedOn w:val="Normal"/>
    <w:rsid w:val="00745021"/>
    <w:pPr>
      <w:spacing w:before="100" w:beforeAutospacing="1" w:after="100" w:afterAutospacing="1" w:line="240" w:lineRule="auto"/>
    </w:pPr>
    <w:rPr>
      <w:rFonts w:ascii="Times New Roman" w:hAnsi="Times New Roman"/>
      <w:sz w:val="24"/>
      <w:szCs w:val="24"/>
    </w:rPr>
  </w:style>
  <w:style w:type="paragraph" w:customStyle="1" w:styleId="Heading2a">
    <w:name w:val="Heading2a"/>
    <w:basedOn w:val="Normal"/>
    <w:rsid w:val="003A642E"/>
    <w:pPr>
      <w:tabs>
        <w:tab w:val="num" w:pos="567"/>
      </w:tabs>
      <w:spacing w:beforeLines="40" w:afterLines="40" w:line="340" w:lineRule="exact"/>
      <w:ind w:left="567" w:hanging="567"/>
      <w:jc w:val="both"/>
      <w:outlineLvl w:val="2"/>
    </w:pPr>
    <w:rPr>
      <w:rFonts w:ascii="Arial" w:eastAsia="SimSun" w:hAnsi="Arial" w:cs="Arial"/>
      <w:b/>
      <w:color w:val="0000FF"/>
      <w:sz w:val="28"/>
      <w:szCs w:val="20"/>
      <w:u w:val="single"/>
    </w:rPr>
  </w:style>
  <w:style w:type="paragraph" w:customStyle="1" w:styleId="phan">
    <w:name w:val="phan"/>
    <w:basedOn w:val="Normal"/>
    <w:rsid w:val="00E74B79"/>
    <w:pPr>
      <w:spacing w:before="320" w:after="0" w:line="288" w:lineRule="auto"/>
      <w:jc w:val="center"/>
    </w:pPr>
    <w:rPr>
      <w:rFonts w:ascii="Times New Roman" w:hAnsi="Times New Roman"/>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paragraph" w:customStyle="1" w:styleId="lead">
    <w:name w:val="lead"/>
    <w:basedOn w:val="Normal"/>
    <w:rsid w:val="00315547"/>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rsid w:val="00315547"/>
    <w:pPr>
      <w:spacing w:before="100" w:beforeAutospacing="1" w:after="100" w:afterAutospacing="1" w:line="240" w:lineRule="auto"/>
    </w:pPr>
    <w:rPr>
      <w:rFonts w:ascii="Times New Roman" w:hAnsi="Times New Roman"/>
      <w:sz w:val="24"/>
      <w:szCs w:val="24"/>
    </w:rPr>
  </w:style>
  <w:style w:type="character" w:customStyle="1" w:styleId="cmpsitintextlink">
    <w:name w:val="cmps_it_intextlink"/>
    <w:basedOn w:val="DefaultParagraphFont"/>
    <w:rsid w:val="00315547"/>
  </w:style>
  <w:style w:type="paragraph" w:customStyle="1" w:styleId="Char2">
    <w:name w:val="Char"/>
    <w:basedOn w:val="Normal"/>
    <w:rsid w:val="001121DF"/>
    <w:pPr>
      <w:spacing w:after="160" w:line="240" w:lineRule="exact"/>
    </w:pPr>
    <w:rPr>
      <w:rFonts w:ascii="Verdana" w:hAnsi="Verdana"/>
      <w:sz w:val="20"/>
      <w:szCs w:val="20"/>
    </w:rPr>
  </w:style>
  <w:style w:type="paragraph" w:customStyle="1" w:styleId="Paragraph">
    <w:name w:val="Paragraph"/>
    <w:basedOn w:val="Normal"/>
    <w:rsid w:val="002C3544"/>
    <w:pPr>
      <w:spacing w:after="120" w:line="240" w:lineRule="auto"/>
    </w:pPr>
    <w:rPr>
      <w:rFonts w:ascii="Times New Roman" w:hAnsi="Times New Roman"/>
      <w:szCs w:val="20"/>
      <w:lang w:val="en-GB"/>
    </w:rPr>
  </w:style>
  <w:style w:type="paragraph" w:customStyle="1" w:styleId="copymainlg">
    <w:name w:val="copy_main_lg"/>
    <w:basedOn w:val="Normal"/>
    <w:rsid w:val="00812135"/>
    <w:pPr>
      <w:spacing w:before="100" w:beforeAutospacing="1" w:after="100" w:afterAutospacing="1" w:line="240" w:lineRule="auto"/>
    </w:pPr>
    <w:rPr>
      <w:rFonts w:ascii="Times New Roman" w:hAnsi="Times New Roman"/>
      <w:sz w:val="24"/>
      <w:szCs w:val="24"/>
    </w:rPr>
  </w:style>
  <w:style w:type="paragraph" w:customStyle="1" w:styleId="Bng">
    <w:name w:val="Bảng"/>
    <w:basedOn w:val="Normal"/>
    <w:autoRedefine/>
    <w:qFormat/>
    <w:rsid w:val="00E22502"/>
    <w:pPr>
      <w:spacing w:before="120" w:after="120" w:line="312" w:lineRule="auto"/>
      <w:jc w:val="center"/>
    </w:pPr>
    <w:rPr>
      <w:rFonts w:ascii="Arial" w:hAnsi="Arial"/>
      <w:b/>
      <w:color w:val="FF0000"/>
      <w:sz w:val="24"/>
      <w:szCs w:val="24"/>
      <w:u w:val="single"/>
    </w:rPr>
  </w:style>
  <w:style w:type="character" w:customStyle="1" w:styleId="st">
    <w:name w:val="st"/>
    <w:basedOn w:val="DefaultParagraphFont"/>
    <w:rsid w:val="007846C2"/>
  </w:style>
  <w:style w:type="character" w:customStyle="1" w:styleId="Heading4Char">
    <w:name w:val="Heading 4 Char"/>
    <w:link w:val="Heading4"/>
    <w:uiPriority w:val="9"/>
    <w:rsid w:val="000A79F0"/>
    <w:rPr>
      <w:rFonts w:ascii="Calibri" w:eastAsia="Times New Roman" w:hAnsi="Calibri" w:cs="Times New Roman"/>
      <w:b/>
      <w:bCs/>
      <w:sz w:val="28"/>
      <w:szCs w:val="28"/>
    </w:rPr>
  </w:style>
  <w:style w:type="character" w:customStyle="1" w:styleId="apple-converted-space">
    <w:name w:val="apple-converted-space"/>
    <w:rsid w:val="00E9767B"/>
  </w:style>
  <w:style w:type="paragraph" w:styleId="NoSpacing">
    <w:name w:val="No Spacing"/>
    <w:uiPriority w:val="1"/>
    <w:qFormat/>
    <w:rsid w:val="00884E46"/>
    <w:pPr>
      <w:jc w:val="both"/>
    </w:pPr>
    <w:rPr>
      <w:rFonts w:ascii="Times New Roman" w:hAnsi="Times New Roman"/>
      <w:sz w:val="26"/>
      <w:szCs w:val="28"/>
      <w:lang w:val="en-US"/>
    </w:rPr>
  </w:style>
  <w:style w:type="character" w:customStyle="1" w:styleId="m4878767720138286850notetitle1">
    <w:name w:val="m_4878767720138286850notetitle1"/>
    <w:rsid w:val="00CC19D7"/>
  </w:style>
  <w:style w:type="character" w:customStyle="1" w:styleId="m4878767720138286850parmvalue">
    <w:name w:val="m_4878767720138286850parmvalue"/>
    <w:rsid w:val="00CC19D7"/>
  </w:style>
  <w:style w:type="character" w:customStyle="1" w:styleId="m4878767720138286850parmname">
    <w:name w:val="m_4878767720138286850parmname"/>
    <w:rsid w:val="00CC19D7"/>
  </w:style>
  <w:style w:type="character" w:customStyle="1" w:styleId="aqj">
    <w:name w:val="aqj"/>
    <w:rsid w:val="00CC19D7"/>
  </w:style>
  <w:style w:type="character" w:customStyle="1" w:styleId="m-7692116320971555593notetitle1">
    <w:name w:val="m_-7692116320971555593notetitle1"/>
    <w:rsid w:val="003C6757"/>
  </w:style>
  <w:style w:type="character" w:customStyle="1" w:styleId="m-7692116320971555593parmvalue">
    <w:name w:val="m_-7692116320971555593parmvalue"/>
    <w:rsid w:val="003C6757"/>
  </w:style>
  <w:style w:type="character" w:customStyle="1" w:styleId="m-7692116320971555593parmname">
    <w:name w:val="m_-7692116320971555593parmname"/>
    <w:rsid w:val="003C6757"/>
  </w:style>
  <w:style w:type="paragraph" w:customStyle="1" w:styleId="doc-ti">
    <w:name w:val="doc-ti"/>
    <w:basedOn w:val="Normal"/>
    <w:rsid w:val="00D13C34"/>
    <w:pPr>
      <w:spacing w:before="100" w:beforeAutospacing="1" w:after="100" w:afterAutospacing="1" w:line="240" w:lineRule="auto"/>
    </w:pPr>
    <w:rPr>
      <w:rFonts w:ascii="Times New Roman" w:hAnsi="Times New Roman"/>
      <w:sz w:val="24"/>
      <w:szCs w:val="24"/>
    </w:rPr>
  </w:style>
  <w:style w:type="character" w:customStyle="1" w:styleId="highlight">
    <w:name w:val="highlight"/>
    <w:rsid w:val="00D13C34"/>
  </w:style>
  <w:style w:type="paragraph" w:customStyle="1" w:styleId="PHLC">
    <w:name w:val="PHỤ LỤC"/>
    <w:basedOn w:val="Heading1"/>
    <w:link w:val="PHLCChar"/>
    <w:qFormat/>
    <w:rsid w:val="008C6CC2"/>
    <w:pPr>
      <w:keepLines w:val="0"/>
      <w:numPr>
        <w:numId w:val="18"/>
      </w:numPr>
      <w:tabs>
        <w:tab w:val="left" w:pos="360"/>
      </w:tabs>
      <w:spacing w:before="240" w:after="60" w:line="288" w:lineRule="auto"/>
      <w:jc w:val="center"/>
    </w:pPr>
    <w:rPr>
      <w:rFonts w:ascii="Arial" w:hAnsi="Arial" w:cs="Arial"/>
      <w:kern w:val="32"/>
      <w:sz w:val="24"/>
      <w:szCs w:val="24"/>
      <w:lang w:val="de-DE" w:eastAsia="en-US"/>
    </w:rPr>
  </w:style>
  <w:style w:type="character" w:customStyle="1" w:styleId="PHLCChar">
    <w:name w:val="PHỤ LỤC Char"/>
    <w:basedOn w:val="Heading1Char"/>
    <w:link w:val="PHLC"/>
    <w:rsid w:val="008C6CC2"/>
    <w:rPr>
      <w:rFonts w:ascii="Arial" w:eastAsia="Times New Roman" w:hAnsi="Arial" w:cs="Arial"/>
      <w:b/>
      <w:bCs/>
      <w:color w:val="365F91"/>
      <w:kern w:val="32"/>
      <w:sz w:val="24"/>
      <w:szCs w:val="24"/>
      <w:lang w:val="de-DE"/>
    </w:rPr>
  </w:style>
  <w:style w:type="character" w:customStyle="1" w:styleId="ListParagraphChar">
    <w:name w:val="List Paragraph Char"/>
    <w:basedOn w:val="DefaultParagraphFont"/>
    <w:link w:val="ListParagraph"/>
    <w:uiPriority w:val="99"/>
    <w:locked/>
    <w:rsid w:val="00A65D16"/>
    <w:rPr>
      <w:sz w:val="22"/>
      <w:szCs w:val="22"/>
      <w:lang w:val="en-US"/>
    </w:rPr>
  </w:style>
  <w:style w:type="character" w:customStyle="1" w:styleId="notranslate">
    <w:name w:val="notranslate"/>
    <w:basedOn w:val="DefaultParagraphFont"/>
    <w:rsid w:val="00E51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2119">
      <w:bodyDiv w:val="1"/>
      <w:marLeft w:val="0"/>
      <w:marRight w:val="0"/>
      <w:marTop w:val="0"/>
      <w:marBottom w:val="0"/>
      <w:divBdr>
        <w:top w:val="none" w:sz="0" w:space="0" w:color="auto"/>
        <w:left w:val="none" w:sz="0" w:space="0" w:color="auto"/>
        <w:bottom w:val="none" w:sz="0" w:space="0" w:color="auto"/>
        <w:right w:val="none" w:sz="0" w:space="0" w:color="auto"/>
      </w:divBdr>
    </w:div>
    <w:div w:id="34892886">
      <w:bodyDiv w:val="1"/>
      <w:marLeft w:val="0"/>
      <w:marRight w:val="0"/>
      <w:marTop w:val="0"/>
      <w:marBottom w:val="0"/>
      <w:divBdr>
        <w:top w:val="none" w:sz="0" w:space="0" w:color="auto"/>
        <w:left w:val="none" w:sz="0" w:space="0" w:color="auto"/>
        <w:bottom w:val="none" w:sz="0" w:space="0" w:color="auto"/>
        <w:right w:val="none" w:sz="0" w:space="0" w:color="auto"/>
      </w:divBdr>
    </w:div>
    <w:div w:id="48920246">
      <w:bodyDiv w:val="1"/>
      <w:marLeft w:val="0"/>
      <w:marRight w:val="0"/>
      <w:marTop w:val="0"/>
      <w:marBottom w:val="0"/>
      <w:divBdr>
        <w:top w:val="none" w:sz="0" w:space="0" w:color="auto"/>
        <w:left w:val="none" w:sz="0" w:space="0" w:color="auto"/>
        <w:bottom w:val="none" w:sz="0" w:space="0" w:color="auto"/>
        <w:right w:val="none" w:sz="0" w:space="0" w:color="auto"/>
      </w:divBdr>
    </w:div>
    <w:div w:id="91975032">
      <w:bodyDiv w:val="1"/>
      <w:marLeft w:val="0"/>
      <w:marRight w:val="0"/>
      <w:marTop w:val="0"/>
      <w:marBottom w:val="0"/>
      <w:divBdr>
        <w:top w:val="none" w:sz="0" w:space="0" w:color="auto"/>
        <w:left w:val="none" w:sz="0" w:space="0" w:color="auto"/>
        <w:bottom w:val="none" w:sz="0" w:space="0" w:color="auto"/>
        <w:right w:val="none" w:sz="0" w:space="0" w:color="auto"/>
      </w:divBdr>
    </w:div>
    <w:div w:id="137382488">
      <w:bodyDiv w:val="1"/>
      <w:marLeft w:val="0"/>
      <w:marRight w:val="0"/>
      <w:marTop w:val="0"/>
      <w:marBottom w:val="0"/>
      <w:divBdr>
        <w:top w:val="none" w:sz="0" w:space="0" w:color="auto"/>
        <w:left w:val="none" w:sz="0" w:space="0" w:color="auto"/>
        <w:bottom w:val="none" w:sz="0" w:space="0" w:color="auto"/>
        <w:right w:val="none" w:sz="0" w:space="0" w:color="auto"/>
      </w:divBdr>
      <w:divsChild>
        <w:div w:id="1325662605">
          <w:marLeft w:val="0"/>
          <w:marRight w:val="0"/>
          <w:marTop w:val="0"/>
          <w:marBottom w:val="0"/>
          <w:divBdr>
            <w:top w:val="none" w:sz="0" w:space="0" w:color="auto"/>
            <w:left w:val="none" w:sz="0" w:space="0" w:color="auto"/>
            <w:bottom w:val="none" w:sz="0" w:space="0" w:color="auto"/>
            <w:right w:val="none" w:sz="0" w:space="0" w:color="auto"/>
          </w:divBdr>
          <w:divsChild>
            <w:div w:id="427773205">
              <w:marLeft w:val="0"/>
              <w:marRight w:val="0"/>
              <w:marTop w:val="0"/>
              <w:marBottom w:val="0"/>
              <w:divBdr>
                <w:top w:val="none" w:sz="0" w:space="0" w:color="auto"/>
                <w:left w:val="none" w:sz="0" w:space="0" w:color="auto"/>
                <w:bottom w:val="none" w:sz="0" w:space="0" w:color="auto"/>
                <w:right w:val="none" w:sz="0" w:space="0" w:color="auto"/>
              </w:divBdr>
              <w:divsChild>
                <w:div w:id="4435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69">
      <w:bodyDiv w:val="1"/>
      <w:marLeft w:val="0"/>
      <w:marRight w:val="0"/>
      <w:marTop w:val="0"/>
      <w:marBottom w:val="0"/>
      <w:divBdr>
        <w:top w:val="none" w:sz="0" w:space="0" w:color="auto"/>
        <w:left w:val="none" w:sz="0" w:space="0" w:color="auto"/>
        <w:bottom w:val="none" w:sz="0" w:space="0" w:color="auto"/>
        <w:right w:val="none" w:sz="0" w:space="0" w:color="auto"/>
      </w:divBdr>
    </w:div>
    <w:div w:id="172301188">
      <w:bodyDiv w:val="1"/>
      <w:marLeft w:val="0"/>
      <w:marRight w:val="0"/>
      <w:marTop w:val="0"/>
      <w:marBottom w:val="0"/>
      <w:divBdr>
        <w:top w:val="none" w:sz="0" w:space="0" w:color="auto"/>
        <w:left w:val="none" w:sz="0" w:space="0" w:color="auto"/>
        <w:bottom w:val="none" w:sz="0" w:space="0" w:color="auto"/>
        <w:right w:val="none" w:sz="0" w:space="0" w:color="auto"/>
      </w:divBdr>
    </w:div>
    <w:div w:id="185488868">
      <w:bodyDiv w:val="1"/>
      <w:marLeft w:val="0"/>
      <w:marRight w:val="0"/>
      <w:marTop w:val="0"/>
      <w:marBottom w:val="0"/>
      <w:divBdr>
        <w:top w:val="none" w:sz="0" w:space="0" w:color="auto"/>
        <w:left w:val="none" w:sz="0" w:space="0" w:color="auto"/>
        <w:bottom w:val="none" w:sz="0" w:space="0" w:color="auto"/>
        <w:right w:val="none" w:sz="0" w:space="0" w:color="auto"/>
      </w:divBdr>
    </w:div>
    <w:div w:id="202518243">
      <w:bodyDiv w:val="1"/>
      <w:marLeft w:val="0"/>
      <w:marRight w:val="0"/>
      <w:marTop w:val="0"/>
      <w:marBottom w:val="0"/>
      <w:divBdr>
        <w:top w:val="none" w:sz="0" w:space="0" w:color="auto"/>
        <w:left w:val="none" w:sz="0" w:space="0" w:color="auto"/>
        <w:bottom w:val="none" w:sz="0" w:space="0" w:color="auto"/>
        <w:right w:val="none" w:sz="0" w:space="0" w:color="auto"/>
      </w:divBdr>
      <w:divsChild>
        <w:div w:id="1945384494">
          <w:marLeft w:val="0"/>
          <w:marRight w:val="0"/>
          <w:marTop w:val="0"/>
          <w:marBottom w:val="0"/>
          <w:divBdr>
            <w:top w:val="none" w:sz="0" w:space="0" w:color="auto"/>
            <w:left w:val="none" w:sz="0" w:space="0" w:color="auto"/>
            <w:bottom w:val="none" w:sz="0" w:space="0" w:color="auto"/>
            <w:right w:val="none" w:sz="0" w:space="0" w:color="auto"/>
          </w:divBdr>
          <w:divsChild>
            <w:div w:id="626397258">
              <w:marLeft w:val="0"/>
              <w:marRight w:val="0"/>
              <w:marTop w:val="0"/>
              <w:marBottom w:val="0"/>
              <w:divBdr>
                <w:top w:val="none" w:sz="0" w:space="0" w:color="auto"/>
                <w:left w:val="none" w:sz="0" w:space="0" w:color="auto"/>
                <w:bottom w:val="none" w:sz="0" w:space="0" w:color="auto"/>
                <w:right w:val="none" w:sz="0" w:space="0" w:color="auto"/>
              </w:divBdr>
              <w:divsChild>
                <w:div w:id="10981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857">
      <w:bodyDiv w:val="1"/>
      <w:marLeft w:val="0"/>
      <w:marRight w:val="0"/>
      <w:marTop w:val="0"/>
      <w:marBottom w:val="0"/>
      <w:divBdr>
        <w:top w:val="none" w:sz="0" w:space="0" w:color="auto"/>
        <w:left w:val="none" w:sz="0" w:space="0" w:color="auto"/>
        <w:bottom w:val="none" w:sz="0" w:space="0" w:color="auto"/>
        <w:right w:val="none" w:sz="0" w:space="0" w:color="auto"/>
      </w:divBdr>
    </w:div>
    <w:div w:id="207575116">
      <w:bodyDiv w:val="1"/>
      <w:marLeft w:val="0"/>
      <w:marRight w:val="0"/>
      <w:marTop w:val="0"/>
      <w:marBottom w:val="0"/>
      <w:divBdr>
        <w:top w:val="none" w:sz="0" w:space="0" w:color="auto"/>
        <w:left w:val="none" w:sz="0" w:space="0" w:color="auto"/>
        <w:bottom w:val="none" w:sz="0" w:space="0" w:color="auto"/>
        <w:right w:val="none" w:sz="0" w:space="0" w:color="auto"/>
      </w:divBdr>
    </w:div>
    <w:div w:id="212738118">
      <w:bodyDiv w:val="1"/>
      <w:marLeft w:val="0"/>
      <w:marRight w:val="0"/>
      <w:marTop w:val="0"/>
      <w:marBottom w:val="0"/>
      <w:divBdr>
        <w:top w:val="none" w:sz="0" w:space="0" w:color="auto"/>
        <w:left w:val="none" w:sz="0" w:space="0" w:color="auto"/>
        <w:bottom w:val="none" w:sz="0" w:space="0" w:color="auto"/>
        <w:right w:val="none" w:sz="0" w:space="0" w:color="auto"/>
      </w:divBdr>
      <w:divsChild>
        <w:div w:id="499581552">
          <w:marLeft w:val="0"/>
          <w:marRight w:val="0"/>
          <w:marTop w:val="0"/>
          <w:marBottom w:val="0"/>
          <w:divBdr>
            <w:top w:val="none" w:sz="0" w:space="0" w:color="auto"/>
            <w:left w:val="none" w:sz="0" w:space="0" w:color="auto"/>
            <w:bottom w:val="none" w:sz="0" w:space="0" w:color="auto"/>
            <w:right w:val="none" w:sz="0" w:space="0" w:color="auto"/>
          </w:divBdr>
        </w:div>
        <w:div w:id="2133480635">
          <w:marLeft w:val="0"/>
          <w:marRight w:val="0"/>
          <w:marTop w:val="0"/>
          <w:marBottom w:val="0"/>
          <w:divBdr>
            <w:top w:val="none" w:sz="0" w:space="0" w:color="auto"/>
            <w:left w:val="none" w:sz="0" w:space="0" w:color="auto"/>
            <w:bottom w:val="none" w:sz="0" w:space="0" w:color="auto"/>
            <w:right w:val="none" w:sz="0" w:space="0" w:color="auto"/>
          </w:divBdr>
        </w:div>
      </w:divsChild>
    </w:div>
    <w:div w:id="212889016">
      <w:bodyDiv w:val="1"/>
      <w:marLeft w:val="0"/>
      <w:marRight w:val="0"/>
      <w:marTop w:val="0"/>
      <w:marBottom w:val="0"/>
      <w:divBdr>
        <w:top w:val="none" w:sz="0" w:space="0" w:color="auto"/>
        <w:left w:val="none" w:sz="0" w:space="0" w:color="auto"/>
        <w:bottom w:val="none" w:sz="0" w:space="0" w:color="auto"/>
        <w:right w:val="none" w:sz="0" w:space="0" w:color="auto"/>
      </w:divBdr>
    </w:div>
    <w:div w:id="224800814">
      <w:bodyDiv w:val="1"/>
      <w:marLeft w:val="0"/>
      <w:marRight w:val="0"/>
      <w:marTop w:val="0"/>
      <w:marBottom w:val="0"/>
      <w:divBdr>
        <w:top w:val="none" w:sz="0" w:space="0" w:color="auto"/>
        <w:left w:val="none" w:sz="0" w:space="0" w:color="auto"/>
        <w:bottom w:val="none" w:sz="0" w:space="0" w:color="auto"/>
        <w:right w:val="none" w:sz="0" w:space="0" w:color="auto"/>
      </w:divBdr>
    </w:div>
    <w:div w:id="245772338">
      <w:bodyDiv w:val="1"/>
      <w:marLeft w:val="0"/>
      <w:marRight w:val="0"/>
      <w:marTop w:val="0"/>
      <w:marBottom w:val="0"/>
      <w:divBdr>
        <w:top w:val="none" w:sz="0" w:space="0" w:color="auto"/>
        <w:left w:val="none" w:sz="0" w:space="0" w:color="auto"/>
        <w:bottom w:val="none" w:sz="0" w:space="0" w:color="auto"/>
        <w:right w:val="none" w:sz="0" w:space="0" w:color="auto"/>
      </w:divBdr>
    </w:div>
    <w:div w:id="253562032">
      <w:bodyDiv w:val="1"/>
      <w:marLeft w:val="0"/>
      <w:marRight w:val="0"/>
      <w:marTop w:val="0"/>
      <w:marBottom w:val="0"/>
      <w:divBdr>
        <w:top w:val="none" w:sz="0" w:space="0" w:color="auto"/>
        <w:left w:val="none" w:sz="0" w:space="0" w:color="auto"/>
        <w:bottom w:val="none" w:sz="0" w:space="0" w:color="auto"/>
        <w:right w:val="none" w:sz="0" w:space="0" w:color="auto"/>
      </w:divBdr>
    </w:div>
    <w:div w:id="265387806">
      <w:bodyDiv w:val="1"/>
      <w:marLeft w:val="0"/>
      <w:marRight w:val="0"/>
      <w:marTop w:val="0"/>
      <w:marBottom w:val="0"/>
      <w:divBdr>
        <w:top w:val="none" w:sz="0" w:space="0" w:color="auto"/>
        <w:left w:val="none" w:sz="0" w:space="0" w:color="auto"/>
        <w:bottom w:val="none" w:sz="0" w:space="0" w:color="auto"/>
        <w:right w:val="none" w:sz="0" w:space="0" w:color="auto"/>
      </w:divBdr>
    </w:div>
    <w:div w:id="289165303">
      <w:bodyDiv w:val="1"/>
      <w:marLeft w:val="0"/>
      <w:marRight w:val="0"/>
      <w:marTop w:val="0"/>
      <w:marBottom w:val="0"/>
      <w:divBdr>
        <w:top w:val="none" w:sz="0" w:space="0" w:color="auto"/>
        <w:left w:val="none" w:sz="0" w:space="0" w:color="auto"/>
        <w:bottom w:val="none" w:sz="0" w:space="0" w:color="auto"/>
        <w:right w:val="none" w:sz="0" w:space="0" w:color="auto"/>
      </w:divBdr>
      <w:divsChild>
        <w:div w:id="2131240119">
          <w:marLeft w:val="0"/>
          <w:marRight w:val="0"/>
          <w:marTop w:val="0"/>
          <w:marBottom w:val="0"/>
          <w:divBdr>
            <w:top w:val="none" w:sz="0" w:space="0" w:color="auto"/>
            <w:left w:val="none" w:sz="0" w:space="0" w:color="auto"/>
            <w:bottom w:val="none" w:sz="0" w:space="0" w:color="auto"/>
            <w:right w:val="none" w:sz="0" w:space="0" w:color="auto"/>
          </w:divBdr>
          <w:divsChild>
            <w:div w:id="1818911217">
              <w:marLeft w:val="0"/>
              <w:marRight w:val="0"/>
              <w:marTop w:val="0"/>
              <w:marBottom w:val="0"/>
              <w:divBdr>
                <w:top w:val="none" w:sz="0" w:space="0" w:color="auto"/>
                <w:left w:val="none" w:sz="0" w:space="0" w:color="auto"/>
                <w:bottom w:val="none" w:sz="0" w:space="0" w:color="auto"/>
                <w:right w:val="none" w:sz="0" w:space="0" w:color="auto"/>
              </w:divBdr>
              <w:divsChild>
                <w:div w:id="15365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57645">
      <w:bodyDiv w:val="1"/>
      <w:marLeft w:val="0"/>
      <w:marRight w:val="0"/>
      <w:marTop w:val="0"/>
      <w:marBottom w:val="0"/>
      <w:divBdr>
        <w:top w:val="none" w:sz="0" w:space="0" w:color="auto"/>
        <w:left w:val="none" w:sz="0" w:space="0" w:color="auto"/>
        <w:bottom w:val="none" w:sz="0" w:space="0" w:color="auto"/>
        <w:right w:val="none" w:sz="0" w:space="0" w:color="auto"/>
      </w:divBdr>
      <w:divsChild>
        <w:div w:id="131103139">
          <w:marLeft w:val="0"/>
          <w:marRight w:val="0"/>
          <w:marTop w:val="0"/>
          <w:marBottom w:val="0"/>
          <w:divBdr>
            <w:top w:val="none" w:sz="0" w:space="0" w:color="auto"/>
            <w:left w:val="none" w:sz="0" w:space="0" w:color="auto"/>
            <w:bottom w:val="none" w:sz="0" w:space="0" w:color="auto"/>
            <w:right w:val="none" w:sz="0" w:space="0" w:color="auto"/>
          </w:divBdr>
        </w:div>
      </w:divsChild>
    </w:div>
    <w:div w:id="299652404">
      <w:bodyDiv w:val="1"/>
      <w:marLeft w:val="0"/>
      <w:marRight w:val="0"/>
      <w:marTop w:val="0"/>
      <w:marBottom w:val="0"/>
      <w:divBdr>
        <w:top w:val="none" w:sz="0" w:space="0" w:color="auto"/>
        <w:left w:val="none" w:sz="0" w:space="0" w:color="auto"/>
        <w:bottom w:val="none" w:sz="0" w:space="0" w:color="auto"/>
        <w:right w:val="none" w:sz="0" w:space="0" w:color="auto"/>
      </w:divBdr>
    </w:div>
    <w:div w:id="322439580">
      <w:bodyDiv w:val="1"/>
      <w:marLeft w:val="0"/>
      <w:marRight w:val="0"/>
      <w:marTop w:val="0"/>
      <w:marBottom w:val="0"/>
      <w:divBdr>
        <w:top w:val="none" w:sz="0" w:space="0" w:color="auto"/>
        <w:left w:val="none" w:sz="0" w:space="0" w:color="auto"/>
        <w:bottom w:val="none" w:sz="0" w:space="0" w:color="auto"/>
        <w:right w:val="none" w:sz="0" w:space="0" w:color="auto"/>
      </w:divBdr>
    </w:div>
    <w:div w:id="345326307">
      <w:bodyDiv w:val="1"/>
      <w:marLeft w:val="0"/>
      <w:marRight w:val="0"/>
      <w:marTop w:val="0"/>
      <w:marBottom w:val="0"/>
      <w:divBdr>
        <w:top w:val="none" w:sz="0" w:space="0" w:color="auto"/>
        <w:left w:val="none" w:sz="0" w:space="0" w:color="auto"/>
        <w:bottom w:val="none" w:sz="0" w:space="0" w:color="auto"/>
        <w:right w:val="none" w:sz="0" w:space="0" w:color="auto"/>
      </w:divBdr>
    </w:div>
    <w:div w:id="372392811">
      <w:bodyDiv w:val="1"/>
      <w:marLeft w:val="0"/>
      <w:marRight w:val="0"/>
      <w:marTop w:val="0"/>
      <w:marBottom w:val="0"/>
      <w:divBdr>
        <w:top w:val="none" w:sz="0" w:space="0" w:color="auto"/>
        <w:left w:val="none" w:sz="0" w:space="0" w:color="auto"/>
        <w:bottom w:val="none" w:sz="0" w:space="0" w:color="auto"/>
        <w:right w:val="none" w:sz="0" w:space="0" w:color="auto"/>
      </w:divBdr>
      <w:divsChild>
        <w:div w:id="1126197816">
          <w:marLeft w:val="0"/>
          <w:marRight w:val="0"/>
          <w:marTop w:val="0"/>
          <w:marBottom w:val="0"/>
          <w:divBdr>
            <w:top w:val="none" w:sz="0" w:space="0" w:color="auto"/>
            <w:left w:val="none" w:sz="0" w:space="0" w:color="auto"/>
            <w:bottom w:val="none" w:sz="0" w:space="0" w:color="auto"/>
            <w:right w:val="none" w:sz="0" w:space="0" w:color="auto"/>
          </w:divBdr>
          <w:divsChild>
            <w:div w:id="556361336">
              <w:marLeft w:val="0"/>
              <w:marRight w:val="0"/>
              <w:marTop w:val="0"/>
              <w:marBottom w:val="0"/>
              <w:divBdr>
                <w:top w:val="none" w:sz="0" w:space="0" w:color="auto"/>
                <w:left w:val="none" w:sz="0" w:space="0" w:color="auto"/>
                <w:bottom w:val="none" w:sz="0" w:space="0" w:color="auto"/>
                <w:right w:val="none" w:sz="0" w:space="0" w:color="auto"/>
              </w:divBdr>
              <w:divsChild>
                <w:div w:id="1631865385">
                  <w:marLeft w:val="0"/>
                  <w:marRight w:val="0"/>
                  <w:marTop w:val="0"/>
                  <w:marBottom w:val="0"/>
                  <w:divBdr>
                    <w:top w:val="none" w:sz="0" w:space="0" w:color="auto"/>
                    <w:left w:val="none" w:sz="0" w:space="0" w:color="auto"/>
                    <w:bottom w:val="none" w:sz="0" w:space="0" w:color="auto"/>
                    <w:right w:val="none" w:sz="0" w:space="0" w:color="auto"/>
                  </w:divBdr>
                  <w:divsChild>
                    <w:div w:id="9386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37629">
          <w:marLeft w:val="0"/>
          <w:marRight w:val="0"/>
          <w:marTop w:val="0"/>
          <w:marBottom w:val="0"/>
          <w:divBdr>
            <w:top w:val="none" w:sz="0" w:space="0" w:color="auto"/>
            <w:left w:val="none" w:sz="0" w:space="0" w:color="auto"/>
            <w:bottom w:val="none" w:sz="0" w:space="0" w:color="auto"/>
            <w:right w:val="none" w:sz="0" w:space="0" w:color="auto"/>
          </w:divBdr>
          <w:divsChild>
            <w:div w:id="428357805">
              <w:marLeft w:val="0"/>
              <w:marRight w:val="0"/>
              <w:marTop w:val="0"/>
              <w:marBottom w:val="0"/>
              <w:divBdr>
                <w:top w:val="none" w:sz="0" w:space="0" w:color="auto"/>
                <w:left w:val="none" w:sz="0" w:space="0" w:color="auto"/>
                <w:bottom w:val="none" w:sz="0" w:space="0" w:color="auto"/>
                <w:right w:val="none" w:sz="0" w:space="0" w:color="auto"/>
              </w:divBdr>
              <w:divsChild>
                <w:div w:id="899175914">
                  <w:marLeft w:val="0"/>
                  <w:marRight w:val="0"/>
                  <w:marTop w:val="0"/>
                  <w:marBottom w:val="0"/>
                  <w:divBdr>
                    <w:top w:val="none" w:sz="0" w:space="0" w:color="auto"/>
                    <w:left w:val="none" w:sz="0" w:space="0" w:color="auto"/>
                    <w:bottom w:val="none" w:sz="0" w:space="0" w:color="auto"/>
                    <w:right w:val="none" w:sz="0" w:space="0" w:color="auto"/>
                  </w:divBdr>
                  <w:divsChild>
                    <w:div w:id="161756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6970">
      <w:bodyDiv w:val="1"/>
      <w:marLeft w:val="0"/>
      <w:marRight w:val="0"/>
      <w:marTop w:val="0"/>
      <w:marBottom w:val="0"/>
      <w:divBdr>
        <w:top w:val="none" w:sz="0" w:space="0" w:color="auto"/>
        <w:left w:val="none" w:sz="0" w:space="0" w:color="auto"/>
        <w:bottom w:val="none" w:sz="0" w:space="0" w:color="auto"/>
        <w:right w:val="none" w:sz="0" w:space="0" w:color="auto"/>
      </w:divBdr>
    </w:div>
    <w:div w:id="427383507">
      <w:bodyDiv w:val="1"/>
      <w:marLeft w:val="0"/>
      <w:marRight w:val="0"/>
      <w:marTop w:val="0"/>
      <w:marBottom w:val="0"/>
      <w:divBdr>
        <w:top w:val="none" w:sz="0" w:space="0" w:color="auto"/>
        <w:left w:val="none" w:sz="0" w:space="0" w:color="auto"/>
        <w:bottom w:val="none" w:sz="0" w:space="0" w:color="auto"/>
        <w:right w:val="none" w:sz="0" w:space="0" w:color="auto"/>
      </w:divBdr>
    </w:div>
    <w:div w:id="453401716">
      <w:bodyDiv w:val="1"/>
      <w:marLeft w:val="0"/>
      <w:marRight w:val="0"/>
      <w:marTop w:val="0"/>
      <w:marBottom w:val="0"/>
      <w:divBdr>
        <w:top w:val="none" w:sz="0" w:space="0" w:color="auto"/>
        <w:left w:val="none" w:sz="0" w:space="0" w:color="auto"/>
        <w:bottom w:val="none" w:sz="0" w:space="0" w:color="auto"/>
        <w:right w:val="none" w:sz="0" w:space="0" w:color="auto"/>
      </w:divBdr>
    </w:div>
    <w:div w:id="474371187">
      <w:bodyDiv w:val="1"/>
      <w:marLeft w:val="0"/>
      <w:marRight w:val="0"/>
      <w:marTop w:val="0"/>
      <w:marBottom w:val="0"/>
      <w:divBdr>
        <w:top w:val="none" w:sz="0" w:space="0" w:color="auto"/>
        <w:left w:val="none" w:sz="0" w:space="0" w:color="auto"/>
        <w:bottom w:val="none" w:sz="0" w:space="0" w:color="auto"/>
        <w:right w:val="none" w:sz="0" w:space="0" w:color="auto"/>
      </w:divBdr>
    </w:div>
    <w:div w:id="512766658">
      <w:bodyDiv w:val="1"/>
      <w:marLeft w:val="0"/>
      <w:marRight w:val="0"/>
      <w:marTop w:val="0"/>
      <w:marBottom w:val="0"/>
      <w:divBdr>
        <w:top w:val="none" w:sz="0" w:space="0" w:color="auto"/>
        <w:left w:val="none" w:sz="0" w:space="0" w:color="auto"/>
        <w:bottom w:val="none" w:sz="0" w:space="0" w:color="auto"/>
        <w:right w:val="none" w:sz="0" w:space="0" w:color="auto"/>
      </w:divBdr>
    </w:div>
    <w:div w:id="537817427">
      <w:bodyDiv w:val="1"/>
      <w:marLeft w:val="0"/>
      <w:marRight w:val="0"/>
      <w:marTop w:val="0"/>
      <w:marBottom w:val="0"/>
      <w:divBdr>
        <w:top w:val="none" w:sz="0" w:space="0" w:color="auto"/>
        <w:left w:val="none" w:sz="0" w:space="0" w:color="auto"/>
        <w:bottom w:val="none" w:sz="0" w:space="0" w:color="auto"/>
        <w:right w:val="none" w:sz="0" w:space="0" w:color="auto"/>
      </w:divBdr>
    </w:div>
    <w:div w:id="538515772">
      <w:bodyDiv w:val="1"/>
      <w:marLeft w:val="0"/>
      <w:marRight w:val="0"/>
      <w:marTop w:val="0"/>
      <w:marBottom w:val="0"/>
      <w:divBdr>
        <w:top w:val="none" w:sz="0" w:space="0" w:color="auto"/>
        <w:left w:val="none" w:sz="0" w:space="0" w:color="auto"/>
        <w:bottom w:val="none" w:sz="0" w:space="0" w:color="auto"/>
        <w:right w:val="none" w:sz="0" w:space="0" w:color="auto"/>
      </w:divBdr>
    </w:div>
    <w:div w:id="539249124">
      <w:bodyDiv w:val="1"/>
      <w:marLeft w:val="0"/>
      <w:marRight w:val="0"/>
      <w:marTop w:val="0"/>
      <w:marBottom w:val="0"/>
      <w:divBdr>
        <w:top w:val="none" w:sz="0" w:space="0" w:color="auto"/>
        <w:left w:val="none" w:sz="0" w:space="0" w:color="auto"/>
        <w:bottom w:val="none" w:sz="0" w:space="0" w:color="auto"/>
        <w:right w:val="none" w:sz="0" w:space="0" w:color="auto"/>
      </w:divBdr>
    </w:div>
    <w:div w:id="551043128">
      <w:bodyDiv w:val="1"/>
      <w:marLeft w:val="0"/>
      <w:marRight w:val="0"/>
      <w:marTop w:val="0"/>
      <w:marBottom w:val="0"/>
      <w:divBdr>
        <w:top w:val="none" w:sz="0" w:space="0" w:color="auto"/>
        <w:left w:val="none" w:sz="0" w:space="0" w:color="auto"/>
        <w:bottom w:val="none" w:sz="0" w:space="0" w:color="auto"/>
        <w:right w:val="none" w:sz="0" w:space="0" w:color="auto"/>
      </w:divBdr>
    </w:div>
    <w:div w:id="558705748">
      <w:bodyDiv w:val="1"/>
      <w:marLeft w:val="0"/>
      <w:marRight w:val="0"/>
      <w:marTop w:val="0"/>
      <w:marBottom w:val="0"/>
      <w:divBdr>
        <w:top w:val="none" w:sz="0" w:space="0" w:color="auto"/>
        <w:left w:val="none" w:sz="0" w:space="0" w:color="auto"/>
        <w:bottom w:val="none" w:sz="0" w:space="0" w:color="auto"/>
        <w:right w:val="none" w:sz="0" w:space="0" w:color="auto"/>
      </w:divBdr>
    </w:div>
    <w:div w:id="561722934">
      <w:bodyDiv w:val="1"/>
      <w:marLeft w:val="0"/>
      <w:marRight w:val="0"/>
      <w:marTop w:val="0"/>
      <w:marBottom w:val="0"/>
      <w:divBdr>
        <w:top w:val="none" w:sz="0" w:space="0" w:color="auto"/>
        <w:left w:val="none" w:sz="0" w:space="0" w:color="auto"/>
        <w:bottom w:val="none" w:sz="0" w:space="0" w:color="auto"/>
        <w:right w:val="none" w:sz="0" w:space="0" w:color="auto"/>
      </w:divBdr>
    </w:div>
    <w:div w:id="566843040">
      <w:bodyDiv w:val="1"/>
      <w:marLeft w:val="0"/>
      <w:marRight w:val="0"/>
      <w:marTop w:val="0"/>
      <w:marBottom w:val="0"/>
      <w:divBdr>
        <w:top w:val="none" w:sz="0" w:space="0" w:color="auto"/>
        <w:left w:val="none" w:sz="0" w:space="0" w:color="auto"/>
        <w:bottom w:val="none" w:sz="0" w:space="0" w:color="auto"/>
        <w:right w:val="none" w:sz="0" w:space="0" w:color="auto"/>
      </w:divBdr>
    </w:div>
    <w:div w:id="581332803">
      <w:bodyDiv w:val="1"/>
      <w:marLeft w:val="0"/>
      <w:marRight w:val="0"/>
      <w:marTop w:val="0"/>
      <w:marBottom w:val="0"/>
      <w:divBdr>
        <w:top w:val="none" w:sz="0" w:space="0" w:color="auto"/>
        <w:left w:val="none" w:sz="0" w:space="0" w:color="auto"/>
        <w:bottom w:val="none" w:sz="0" w:space="0" w:color="auto"/>
        <w:right w:val="none" w:sz="0" w:space="0" w:color="auto"/>
      </w:divBdr>
    </w:div>
    <w:div w:id="615599633">
      <w:bodyDiv w:val="1"/>
      <w:marLeft w:val="0"/>
      <w:marRight w:val="0"/>
      <w:marTop w:val="0"/>
      <w:marBottom w:val="0"/>
      <w:divBdr>
        <w:top w:val="none" w:sz="0" w:space="0" w:color="auto"/>
        <w:left w:val="none" w:sz="0" w:space="0" w:color="auto"/>
        <w:bottom w:val="none" w:sz="0" w:space="0" w:color="auto"/>
        <w:right w:val="none" w:sz="0" w:space="0" w:color="auto"/>
      </w:divBdr>
    </w:div>
    <w:div w:id="629867370">
      <w:bodyDiv w:val="1"/>
      <w:marLeft w:val="0"/>
      <w:marRight w:val="0"/>
      <w:marTop w:val="0"/>
      <w:marBottom w:val="0"/>
      <w:divBdr>
        <w:top w:val="none" w:sz="0" w:space="0" w:color="auto"/>
        <w:left w:val="none" w:sz="0" w:space="0" w:color="auto"/>
        <w:bottom w:val="none" w:sz="0" w:space="0" w:color="auto"/>
        <w:right w:val="none" w:sz="0" w:space="0" w:color="auto"/>
      </w:divBdr>
      <w:divsChild>
        <w:div w:id="622344388">
          <w:marLeft w:val="0"/>
          <w:marRight w:val="0"/>
          <w:marTop w:val="0"/>
          <w:marBottom w:val="0"/>
          <w:divBdr>
            <w:top w:val="none" w:sz="0" w:space="0" w:color="auto"/>
            <w:left w:val="none" w:sz="0" w:space="0" w:color="auto"/>
            <w:bottom w:val="none" w:sz="0" w:space="0" w:color="auto"/>
            <w:right w:val="none" w:sz="0" w:space="0" w:color="auto"/>
          </w:divBdr>
        </w:div>
        <w:div w:id="1663926178">
          <w:marLeft w:val="0"/>
          <w:marRight w:val="0"/>
          <w:marTop w:val="0"/>
          <w:marBottom w:val="0"/>
          <w:divBdr>
            <w:top w:val="none" w:sz="0" w:space="0" w:color="auto"/>
            <w:left w:val="none" w:sz="0" w:space="0" w:color="auto"/>
            <w:bottom w:val="none" w:sz="0" w:space="0" w:color="auto"/>
            <w:right w:val="none" w:sz="0" w:space="0" w:color="auto"/>
          </w:divBdr>
        </w:div>
      </w:divsChild>
    </w:div>
    <w:div w:id="632097546">
      <w:bodyDiv w:val="1"/>
      <w:marLeft w:val="0"/>
      <w:marRight w:val="0"/>
      <w:marTop w:val="0"/>
      <w:marBottom w:val="0"/>
      <w:divBdr>
        <w:top w:val="none" w:sz="0" w:space="0" w:color="auto"/>
        <w:left w:val="none" w:sz="0" w:space="0" w:color="auto"/>
        <w:bottom w:val="none" w:sz="0" w:space="0" w:color="auto"/>
        <w:right w:val="none" w:sz="0" w:space="0" w:color="auto"/>
      </w:divBdr>
    </w:div>
    <w:div w:id="649795979">
      <w:bodyDiv w:val="1"/>
      <w:marLeft w:val="0"/>
      <w:marRight w:val="0"/>
      <w:marTop w:val="0"/>
      <w:marBottom w:val="0"/>
      <w:divBdr>
        <w:top w:val="none" w:sz="0" w:space="0" w:color="auto"/>
        <w:left w:val="none" w:sz="0" w:space="0" w:color="auto"/>
        <w:bottom w:val="none" w:sz="0" w:space="0" w:color="auto"/>
        <w:right w:val="none" w:sz="0" w:space="0" w:color="auto"/>
      </w:divBdr>
    </w:div>
    <w:div w:id="666984387">
      <w:bodyDiv w:val="1"/>
      <w:marLeft w:val="0"/>
      <w:marRight w:val="0"/>
      <w:marTop w:val="0"/>
      <w:marBottom w:val="0"/>
      <w:divBdr>
        <w:top w:val="none" w:sz="0" w:space="0" w:color="auto"/>
        <w:left w:val="none" w:sz="0" w:space="0" w:color="auto"/>
        <w:bottom w:val="none" w:sz="0" w:space="0" w:color="auto"/>
        <w:right w:val="none" w:sz="0" w:space="0" w:color="auto"/>
      </w:divBdr>
    </w:div>
    <w:div w:id="735396661">
      <w:bodyDiv w:val="1"/>
      <w:marLeft w:val="0"/>
      <w:marRight w:val="0"/>
      <w:marTop w:val="0"/>
      <w:marBottom w:val="0"/>
      <w:divBdr>
        <w:top w:val="none" w:sz="0" w:space="0" w:color="auto"/>
        <w:left w:val="none" w:sz="0" w:space="0" w:color="auto"/>
        <w:bottom w:val="none" w:sz="0" w:space="0" w:color="auto"/>
        <w:right w:val="none" w:sz="0" w:space="0" w:color="auto"/>
      </w:divBdr>
    </w:div>
    <w:div w:id="801506907">
      <w:bodyDiv w:val="1"/>
      <w:marLeft w:val="0"/>
      <w:marRight w:val="0"/>
      <w:marTop w:val="0"/>
      <w:marBottom w:val="0"/>
      <w:divBdr>
        <w:top w:val="none" w:sz="0" w:space="0" w:color="auto"/>
        <w:left w:val="none" w:sz="0" w:space="0" w:color="auto"/>
        <w:bottom w:val="none" w:sz="0" w:space="0" w:color="auto"/>
        <w:right w:val="none" w:sz="0" w:space="0" w:color="auto"/>
      </w:divBdr>
    </w:div>
    <w:div w:id="808206084">
      <w:bodyDiv w:val="1"/>
      <w:marLeft w:val="0"/>
      <w:marRight w:val="0"/>
      <w:marTop w:val="0"/>
      <w:marBottom w:val="0"/>
      <w:divBdr>
        <w:top w:val="none" w:sz="0" w:space="0" w:color="auto"/>
        <w:left w:val="none" w:sz="0" w:space="0" w:color="auto"/>
        <w:bottom w:val="none" w:sz="0" w:space="0" w:color="auto"/>
        <w:right w:val="none" w:sz="0" w:space="0" w:color="auto"/>
      </w:divBdr>
    </w:div>
    <w:div w:id="864833164">
      <w:bodyDiv w:val="1"/>
      <w:marLeft w:val="0"/>
      <w:marRight w:val="0"/>
      <w:marTop w:val="0"/>
      <w:marBottom w:val="0"/>
      <w:divBdr>
        <w:top w:val="none" w:sz="0" w:space="0" w:color="auto"/>
        <w:left w:val="none" w:sz="0" w:space="0" w:color="auto"/>
        <w:bottom w:val="none" w:sz="0" w:space="0" w:color="auto"/>
        <w:right w:val="none" w:sz="0" w:space="0" w:color="auto"/>
      </w:divBdr>
    </w:div>
    <w:div w:id="908153445">
      <w:bodyDiv w:val="1"/>
      <w:marLeft w:val="0"/>
      <w:marRight w:val="0"/>
      <w:marTop w:val="0"/>
      <w:marBottom w:val="0"/>
      <w:divBdr>
        <w:top w:val="none" w:sz="0" w:space="0" w:color="auto"/>
        <w:left w:val="none" w:sz="0" w:space="0" w:color="auto"/>
        <w:bottom w:val="none" w:sz="0" w:space="0" w:color="auto"/>
        <w:right w:val="none" w:sz="0" w:space="0" w:color="auto"/>
      </w:divBdr>
    </w:div>
    <w:div w:id="941761767">
      <w:bodyDiv w:val="1"/>
      <w:marLeft w:val="0"/>
      <w:marRight w:val="0"/>
      <w:marTop w:val="0"/>
      <w:marBottom w:val="0"/>
      <w:divBdr>
        <w:top w:val="none" w:sz="0" w:space="0" w:color="auto"/>
        <w:left w:val="none" w:sz="0" w:space="0" w:color="auto"/>
        <w:bottom w:val="none" w:sz="0" w:space="0" w:color="auto"/>
        <w:right w:val="none" w:sz="0" w:space="0" w:color="auto"/>
      </w:divBdr>
    </w:div>
    <w:div w:id="977301327">
      <w:bodyDiv w:val="1"/>
      <w:marLeft w:val="0"/>
      <w:marRight w:val="0"/>
      <w:marTop w:val="0"/>
      <w:marBottom w:val="0"/>
      <w:divBdr>
        <w:top w:val="none" w:sz="0" w:space="0" w:color="auto"/>
        <w:left w:val="none" w:sz="0" w:space="0" w:color="auto"/>
        <w:bottom w:val="none" w:sz="0" w:space="0" w:color="auto"/>
        <w:right w:val="none" w:sz="0" w:space="0" w:color="auto"/>
      </w:divBdr>
    </w:div>
    <w:div w:id="983389621">
      <w:bodyDiv w:val="1"/>
      <w:marLeft w:val="0"/>
      <w:marRight w:val="0"/>
      <w:marTop w:val="0"/>
      <w:marBottom w:val="0"/>
      <w:divBdr>
        <w:top w:val="none" w:sz="0" w:space="0" w:color="auto"/>
        <w:left w:val="none" w:sz="0" w:space="0" w:color="auto"/>
        <w:bottom w:val="none" w:sz="0" w:space="0" w:color="auto"/>
        <w:right w:val="none" w:sz="0" w:space="0" w:color="auto"/>
      </w:divBdr>
    </w:div>
    <w:div w:id="999040745">
      <w:bodyDiv w:val="1"/>
      <w:marLeft w:val="0"/>
      <w:marRight w:val="0"/>
      <w:marTop w:val="0"/>
      <w:marBottom w:val="0"/>
      <w:divBdr>
        <w:top w:val="none" w:sz="0" w:space="0" w:color="auto"/>
        <w:left w:val="none" w:sz="0" w:space="0" w:color="auto"/>
        <w:bottom w:val="none" w:sz="0" w:space="0" w:color="auto"/>
        <w:right w:val="none" w:sz="0" w:space="0" w:color="auto"/>
      </w:divBdr>
    </w:div>
    <w:div w:id="1015157372">
      <w:bodyDiv w:val="1"/>
      <w:marLeft w:val="0"/>
      <w:marRight w:val="0"/>
      <w:marTop w:val="0"/>
      <w:marBottom w:val="0"/>
      <w:divBdr>
        <w:top w:val="none" w:sz="0" w:space="0" w:color="auto"/>
        <w:left w:val="none" w:sz="0" w:space="0" w:color="auto"/>
        <w:bottom w:val="none" w:sz="0" w:space="0" w:color="auto"/>
        <w:right w:val="none" w:sz="0" w:space="0" w:color="auto"/>
      </w:divBdr>
    </w:div>
    <w:div w:id="1020200777">
      <w:bodyDiv w:val="1"/>
      <w:marLeft w:val="0"/>
      <w:marRight w:val="0"/>
      <w:marTop w:val="0"/>
      <w:marBottom w:val="0"/>
      <w:divBdr>
        <w:top w:val="none" w:sz="0" w:space="0" w:color="auto"/>
        <w:left w:val="none" w:sz="0" w:space="0" w:color="auto"/>
        <w:bottom w:val="none" w:sz="0" w:space="0" w:color="auto"/>
        <w:right w:val="none" w:sz="0" w:space="0" w:color="auto"/>
      </w:divBdr>
    </w:div>
    <w:div w:id="1075853811">
      <w:bodyDiv w:val="1"/>
      <w:marLeft w:val="0"/>
      <w:marRight w:val="0"/>
      <w:marTop w:val="0"/>
      <w:marBottom w:val="0"/>
      <w:divBdr>
        <w:top w:val="none" w:sz="0" w:space="0" w:color="auto"/>
        <w:left w:val="none" w:sz="0" w:space="0" w:color="auto"/>
        <w:bottom w:val="none" w:sz="0" w:space="0" w:color="auto"/>
        <w:right w:val="none" w:sz="0" w:space="0" w:color="auto"/>
      </w:divBdr>
    </w:div>
    <w:div w:id="1077478953">
      <w:bodyDiv w:val="1"/>
      <w:marLeft w:val="0"/>
      <w:marRight w:val="0"/>
      <w:marTop w:val="0"/>
      <w:marBottom w:val="0"/>
      <w:divBdr>
        <w:top w:val="none" w:sz="0" w:space="0" w:color="auto"/>
        <w:left w:val="none" w:sz="0" w:space="0" w:color="auto"/>
        <w:bottom w:val="none" w:sz="0" w:space="0" w:color="auto"/>
        <w:right w:val="none" w:sz="0" w:space="0" w:color="auto"/>
      </w:divBdr>
    </w:div>
    <w:div w:id="1121655250">
      <w:bodyDiv w:val="1"/>
      <w:marLeft w:val="0"/>
      <w:marRight w:val="0"/>
      <w:marTop w:val="0"/>
      <w:marBottom w:val="0"/>
      <w:divBdr>
        <w:top w:val="none" w:sz="0" w:space="0" w:color="auto"/>
        <w:left w:val="none" w:sz="0" w:space="0" w:color="auto"/>
        <w:bottom w:val="none" w:sz="0" w:space="0" w:color="auto"/>
        <w:right w:val="none" w:sz="0" w:space="0" w:color="auto"/>
      </w:divBdr>
    </w:div>
    <w:div w:id="1127159247">
      <w:bodyDiv w:val="1"/>
      <w:marLeft w:val="0"/>
      <w:marRight w:val="0"/>
      <w:marTop w:val="0"/>
      <w:marBottom w:val="0"/>
      <w:divBdr>
        <w:top w:val="none" w:sz="0" w:space="0" w:color="auto"/>
        <w:left w:val="none" w:sz="0" w:space="0" w:color="auto"/>
        <w:bottom w:val="none" w:sz="0" w:space="0" w:color="auto"/>
        <w:right w:val="none" w:sz="0" w:space="0" w:color="auto"/>
      </w:divBdr>
      <w:divsChild>
        <w:div w:id="660548229">
          <w:marLeft w:val="547"/>
          <w:marRight w:val="0"/>
          <w:marTop w:val="120"/>
          <w:marBottom w:val="120"/>
          <w:divBdr>
            <w:top w:val="none" w:sz="0" w:space="0" w:color="auto"/>
            <w:left w:val="none" w:sz="0" w:space="0" w:color="auto"/>
            <w:bottom w:val="none" w:sz="0" w:space="0" w:color="auto"/>
            <w:right w:val="none" w:sz="0" w:space="0" w:color="auto"/>
          </w:divBdr>
        </w:div>
        <w:div w:id="2131776798">
          <w:marLeft w:val="547"/>
          <w:marRight w:val="0"/>
          <w:marTop w:val="120"/>
          <w:marBottom w:val="120"/>
          <w:divBdr>
            <w:top w:val="none" w:sz="0" w:space="0" w:color="auto"/>
            <w:left w:val="none" w:sz="0" w:space="0" w:color="auto"/>
            <w:bottom w:val="none" w:sz="0" w:space="0" w:color="auto"/>
            <w:right w:val="none" w:sz="0" w:space="0" w:color="auto"/>
          </w:divBdr>
        </w:div>
        <w:div w:id="1606881179">
          <w:marLeft w:val="547"/>
          <w:marRight w:val="0"/>
          <w:marTop w:val="120"/>
          <w:marBottom w:val="120"/>
          <w:divBdr>
            <w:top w:val="none" w:sz="0" w:space="0" w:color="auto"/>
            <w:left w:val="none" w:sz="0" w:space="0" w:color="auto"/>
            <w:bottom w:val="none" w:sz="0" w:space="0" w:color="auto"/>
            <w:right w:val="none" w:sz="0" w:space="0" w:color="auto"/>
          </w:divBdr>
        </w:div>
        <w:div w:id="1983998738">
          <w:marLeft w:val="547"/>
          <w:marRight w:val="0"/>
          <w:marTop w:val="120"/>
          <w:marBottom w:val="120"/>
          <w:divBdr>
            <w:top w:val="none" w:sz="0" w:space="0" w:color="auto"/>
            <w:left w:val="none" w:sz="0" w:space="0" w:color="auto"/>
            <w:bottom w:val="none" w:sz="0" w:space="0" w:color="auto"/>
            <w:right w:val="none" w:sz="0" w:space="0" w:color="auto"/>
          </w:divBdr>
        </w:div>
      </w:divsChild>
    </w:div>
    <w:div w:id="1133251912">
      <w:bodyDiv w:val="1"/>
      <w:marLeft w:val="0"/>
      <w:marRight w:val="0"/>
      <w:marTop w:val="0"/>
      <w:marBottom w:val="0"/>
      <w:divBdr>
        <w:top w:val="none" w:sz="0" w:space="0" w:color="auto"/>
        <w:left w:val="none" w:sz="0" w:space="0" w:color="auto"/>
        <w:bottom w:val="none" w:sz="0" w:space="0" w:color="auto"/>
        <w:right w:val="none" w:sz="0" w:space="0" w:color="auto"/>
      </w:divBdr>
    </w:div>
    <w:div w:id="1155605043">
      <w:bodyDiv w:val="1"/>
      <w:marLeft w:val="0"/>
      <w:marRight w:val="0"/>
      <w:marTop w:val="0"/>
      <w:marBottom w:val="0"/>
      <w:divBdr>
        <w:top w:val="none" w:sz="0" w:space="0" w:color="auto"/>
        <w:left w:val="none" w:sz="0" w:space="0" w:color="auto"/>
        <w:bottom w:val="none" w:sz="0" w:space="0" w:color="auto"/>
        <w:right w:val="none" w:sz="0" w:space="0" w:color="auto"/>
      </w:divBdr>
    </w:div>
    <w:div w:id="1164668767">
      <w:bodyDiv w:val="1"/>
      <w:marLeft w:val="0"/>
      <w:marRight w:val="0"/>
      <w:marTop w:val="0"/>
      <w:marBottom w:val="0"/>
      <w:divBdr>
        <w:top w:val="none" w:sz="0" w:space="0" w:color="auto"/>
        <w:left w:val="none" w:sz="0" w:space="0" w:color="auto"/>
        <w:bottom w:val="none" w:sz="0" w:space="0" w:color="auto"/>
        <w:right w:val="none" w:sz="0" w:space="0" w:color="auto"/>
      </w:divBdr>
    </w:div>
    <w:div w:id="1185090810">
      <w:bodyDiv w:val="1"/>
      <w:marLeft w:val="0"/>
      <w:marRight w:val="0"/>
      <w:marTop w:val="0"/>
      <w:marBottom w:val="0"/>
      <w:divBdr>
        <w:top w:val="none" w:sz="0" w:space="0" w:color="auto"/>
        <w:left w:val="none" w:sz="0" w:space="0" w:color="auto"/>
        <w:bottom w:val="none" w:sz="0" w:space="0" w:color="auto"/>
        <w:right w:val="none" w:sz="0" w:space="0" w:color="auto"/>
      </w:divBdr>
    </w:div>
    <w:div w:id="1210995280">
      <w:bodyDiv w:val="1"/>
      <w:marLeft w:val="0"/>
      <w:marRight w:val="0"/>
      <w:marTop w:val="0"/>
      <w:marBottom w:val="0"/>
      <w:divBdr>
        <w:top w:val="none" w:sz="0" w:space="0" w:color="auto"/>
        <w:left w:val="none" w:sz="0" w:space="0" w:color="auto"/>
        <w:bottom w:val="none" w:sz="0" w:space="0" w:color="auto"/>
        <w:right w:val="none" w:sz="0" w:space="0" w:color="auto"/>
      </w:divBdr>
    </w:div>
    <w:div w:id="1219131607">
      <w:bodyDiv w:val="1"/>
      <w:marLeft w:val="0"/>
      <w:marRight w:val="0"/>
      <w:marTop w:val="0"/>
      <w:marBottom w:val="0"/>
      <w:divBdr>
        <w:top w:val="none" w:sz="0" w:space="0" w:color="auto"/>
        <w:left w:val="none" w:sz="0" w:space="0" w:color="auto"/>
        <w:bottom w:val="none" w:sz="0" w:space="0" w:color="auto"/>
        <w:right w:val="none" w:sz="0" w:space="0" w:color="auto"/>
      </w:divBdr>
    </w:div>
    <w:div w:id="1224950508">
      <w:bodyDiv w:val="1"/>
      <w:marLeft w:val="0"/>
      <w:marRight w:val="0"/>
      <w:marTop w:val="0"/>
      <w:marBottom w:val="0"/>
      <w:divBdr>
        <w:top w:val="none" w:sz="0" w:space="0" w:color="auto"/>
        <w:left w:val="none" w:sz="0" w:space="0" w:color="auto"/>
        <w:bottom w:val="none" w:sz="0" w:space="0" w:color="auto"/>
        <w:right w:val="none" w:sz="0" w:space="0" w:color="auto"/>
      </w:divBdr>
    </w:div>
    <w:div w:id="1276711964">
      <w:bodyDiv w:val="1"/>
      <w:marLeft w:val="0"/>
      <w:marRight w:val="0"/>
      <w:marTop w:val="0"/>
      <w:marBottom w:val="0"/>
      <w:divBdr>
        <w:top w:val="none" w:sz="0" w:space="0" w:color="auto"/>
        <w:left w:val="none" w:sz="0" w:space="0" w:color="auto"/>
        <w:bottom w:val="none" w:sz="0" w:space="0" w:color="auto"/>
        <w:right w:val="none" w:sz="0" w:space="0" w:color="auto"/>
      </w:divBdr>
    </w:div>
    <w:div w:id="1280334082">
      <w:bodyDiv w:val="1"/>
      <w:marLeft w:val="0"/>
      <w:marRight w:val="0"/>
      <w:marTop w:val="0"/>
      <w:marBottom w:val="0"/>
      <w:divBdr>
        <w:top w:val="none" w:sz="0" w:space="0" w:color="auto"/>
        <w:left w:val="none" w:sz="0" w:space="0" w:color="auto"/>
        <w:bottom w:val="none" w:sz="0" w:space="0" w:color="auto"/>
        <w:right w:val="none" w:sz="0" w:space="0" w:color="auto"/>
      </w:divBdr>
    </w:div>
    <w:div w:id="1300262910">
      <w:bodyDiv w:val="1"/>
      <w:marLeft w:val="0"/>
      <w:marRight w:val="0"/>
      <w:marTop w:val="0"/>
      <w:marBottom w:val="0"/>
      <w:divBdr>
        <w:top w:val="none" w:sz="0" w:space="0" w:color="auto"/>
        <w:left w:val="none" w:sz="0" w:space="0" w:color="auto"/>
        <w:bottom w:val="none" w:sz="0" w:space="0" w:color="auto"/>
        <w:right w:val="none" w:sz="0" w:space="0" w:color="auto"/>
      </w:divBdr>
    </w:div>
    <w:div w:id="1328363936">
      <w:bodyDiv w:val="1"/>
      <w:marLeft w:val="0"/>
      <w:marRight w:val="0"/>
      <w:marTop w:val="0"/>
      <w:marBottom w:val="0"/>
      <w:divBdr>
        <w:top w:val="none" w:sz="0" w:space="0" w:color="auto"/>
        <w:left w:val="none" w:sz="0" w:space="0" w:color="auto"/>
        <w:bottom w:val="none" w:sz="0" w:space="0" w:color="auto"/>
        <w:right w:val="none" w:sz="0" w:space="0" w:color="auto"/>
      </w:divBdr>
    </w:div>
    <w:div w:id="1359816569">
      <w:bodyDiv w:val="1"/>
      <w:marLeft w:val="0"/>
      <w:marRight w:val="0"/>
      <w:marTop w:val="0"/>
      <w:marBottom w:val="0"/>
      <w:divBdr>
        <w:top w:val="none" w:sz="0" w:space="0" w:color="auto"/>
        <w:left w:val="none" w:sz="0" w:space="0" w:color="auto"/>
        <w:bottom w:val="none" w:sz="0" w:space="0" w:color="auto"/>
        <w:right w:val="none" w:sz="0" w:space="0" w:color="auto"/>
      </w:divBdr>
    </w:div>
    <w:div w:id="1412459486">
      <w:bodyDiv w:val="1"/>
      <w:marLeft w:val="0"/>
      <w:marRight w:val="0"/>
      <w:marTop w:val="0"/>
      <w:marBottom w:val="0"/>
      <w:divBdr>
        <w:top w:val="none" w:sz="0" w:space="0" w:color="auto"/>
        <w:left w:val="none" w:sz="0" w:space="0" w:color="auto"/>
        <w:bottom w:val="none" w:sz="0" w:space="0" w:color="auto"/>
        <w:right w:val="none" w:sz="0" w:space="0" w:color="auto"/>
      </w:divBdr>
    </w:div>
    <w:div w:id="1508787323">
      <w:bodyDiv w:val="1"/>
      <w:marLeft w:val="0"/>
      <w:marRight w:val="0"/>
      <w:marTop w:val="0"/>
      <w:marBottom w:val="0"/>
      <w:divBdr>
        <w:top w:val="none" w:sz="0" w:space="0" w:color="auto"/>
        <w:left w:val="none" w:sz="0" w:space="0" w:color="auto"/>
        <w:bottom w:val="none" w:sz="0" w:space="0" w:color="auto"/>
        <w:right w:val="none" w:sz="0" w:space="0" w:color="auto"/>
      </w:divBdr>
    </w:div>
    <w:div w:id="1540774635">
      <w:bodyDiv w:val="1"/>
      <w:marLeft w:val="0"/>
      <w:marRight w:val="0"/>
      <w:marTop w:val="0"/>
      <w:marBottom w:val="0"/>
      <w:divBdr>
        <w:top w:val="none" w:sz="0" w:space="0" w:color="auto"/>
        <w:left w:val="none" w:sz="0" w:space="0" w:color="auto"/>
        <w:bottom w:val="none" w:sz="0" w:space="0" w:color="auto"/>
        <w:right w:val="none" w:sz="0" w:space="0" w:color="auto"/>
      </w:divBdr>
    </w:div>
    <w:div w:id="1544099813">
      <w:bodyDiv w:val="1"/>
      <w:marLeft w:val="0"/>
      <w:marRight w:val="0"/>
      <w:marTop w:val="0"/>
      <w:marBottom w:val="0"/>
      <w:divBdr>
        <w:top w:val="none" w:sz="0" w:space="0" w:color="auto"/>
        <w:left w:val="none" w:sz="0" w:space="0" w:color="auto"/>
        <w:bottom w:val="none" w:sz="0" w:space="0" w:color="auto"/>
        <w:right w:val="none" w:sz="0" w:space="0" w:color="auto"/>
      </w:divBdr>
    </w:div>
    <w:div w:id="1559972331">
      <w:bodyDiv w:val="1"/>
      <w:marLeft w:val="0"/>
      <w:marRight w:val="0"/>
      <w:marTop w:val="0"/>
      <w:marBottom w:val="0"/>
      <w:divBdr>
        <w:top w:val="none" w:sz="0" w:space="0" w:color="auto"/>
        <w:left w:val="none" w:sz="0" w:space="0" w:color="auto"/>
        <w:bottom w:val="none" w:sz="0" w:space="0" w:color="auto"/>
        <w:right w:val="none" w:sz="0" w:space="0" w:color="auto"/>
      </w:divBdr>
    </w:div>
    <w:div w:id="1561473690">
      <w:bodyDiv w:val="1"/>
      <w:marLeft w:val="0"/>
      <w:marRight w:val="0"/>
      <w:marTop w:val="0"/>
      <w:marBottom w:val="0"/>
      <w:divBdr>
        <w:top w:val="none" w:sz="0" w:space="0" w:color="auto"/>
        <w:left w:val="none" w:sz="0" w:space="0" w:color="auto"/>
        <w:bottom w:val="none" w:sz="0" w:space="0" w:color="auto"/>
        <w:right w:val="none" w:sz="0" w:space="0" w:color="auto"/>
      </w:divBdr>
    </w:div>
    <w:div w:id="1670983040">
      <w:bodyDiv w:val="1"/>
      <w:marLeft w:val="0"/>
      <w:marRight w:val="0"/>
      <w:marTop w:val="0"/>
      <w:marBottom w:val="0"/>
      <w:divBdr>
        <w:top w:val="none" w:sz="0" w:space="0" w:color="auto"/>
        <w:left w:val="none" w:sz="0" w:space="0" w:color="auto"/>
        <w:bottom w:val="none" w:sz="0" w:space="0" w:color="auto"/>
        <w:right w:val="none" w:sz="0" w:space="0" w:color="auto"/>
      </w:divBdr>
    </w:div>
    <w:div w:id="1692142884">
      <w:bodyDiv w:val="1"/>
      <w:marLeft w:val="0"/>
      <w:marRight w:val="0"/>
      <w:marTop w:val="0"/>
      <w:marBottom w:val="0"/>
      <w:divBdr>
        <w:top w:val="none" w:sz="0" w:space="0" w:color="auto"/>
        <w:left w:val="none" w:sz="0" w:space="0" w:color="auto"/>
        <w:bottom w:val="none" w:sz="0" w:space="0" w:color="auto"/>
        <w:right w:val="none" w:sz="0" w:space="0" w:color="auto"/>
      </w:divBdr>
    </w:div>
    <w:div w:id="1697147221">
      <w:bodyDiv w:val="1"/>
      <w:marLeft w:val="0"/>
      <w:marRight w:val="0"/>
      <w:marTop w:val="0"/>
      <w:marBottom w:val="0"/>
      <w:divBdr>
        <w:top w:val="none" w:sz="0" w:space="0" w:color="auto"/>
        <w:left w:val="none" w:sz="0" w:space="0" w:color="auto"/>
        <w:bottom w:val="none" w:sz="0" w:space="0" w:color="auto"/>
        <w:right w:val="none" w:sz="0" w:space="0" w:color="auto"/>
      </w:divBdr>
    </w:div>
    <w:div w:id="1740710617">
      <w:bodyDiv w:val="1"/>
      <w:marLeft w:val="0"/>
      <w:marRight w:val="0"/>
      <w:marTop w:val="0"/>
      <w:marBottom w:val="0"/>
      <w:divBdr>
        <w:top w:val="none" w:sz="0" w:space="0" w:color="auto"/>
        <w:left w:val="none" w:sz="0" w:space="0" w:color="auto"/>
        <w:bottom w:val="none" w:sz="0" w:space="0" w:color="auto"/>
        <w:right w:val="none" w:sz="0" w:space="0" w:color="auto"/>
      </w:divBdr>
    </w:div>
    <w:div w:id="1759137383">
      <w:bodyDiv w:val="1"/>
      <w:marLeft w:val="0"/>
      <w:marRight w:val="0"/>
      <w:marTop w:val="0"/>
      <w:marBottom w:val="0"/>
      <w:divBdr>
        <w:top w:val="none" w:sz="0" w:space="0" w:color="auto"/>
        <w:left w:val="none" w:sz="0" w:space="0" w:color="auto"/>
        <w:bottom w:val="none" w:sz="0" w:space="0" w:color="auto"/>
        <w:right w:val="none" w:sz="0" w:space="0" w:color="auto"/>
      </w:divBdr>
    </w:div>
    <w:div w:id="1794902053">
      <w:bodyDiv w:val="1"/>
      <w:marLeft w:val="0"/>
      <w:marRight w:val="0"/>
      <w:marTop w:val="0"/>
      <w:marBottom w:val="0"/>
      <w:divBdr>
        <w:top w:val="none" w:sz="0" w:space="0" w:color="auto"/>
        <w:left w:val="none" w:sz="0" w:space="0" w:color="auto"/>
        <w:bottom w:val="none" w:sz="0" w:space="0" w:color="auto"/>
        <w:right w:val="none" w:sz="0" w:space="0" w:color="auto"/>
      </w:divBdr>
    </w:div>
    <w:div w:id="1820883165">
      <w:bodyDiv w:val="1"/>
      <w:marLeft w:val="0"/>
      <w:marRight w:val="0"/>
      <w:marTop w:val="0"/>
      <w:marBottom w:val="0"/>
      <w:divBdr>
        <w:top w:val="none" w:sz="0" w:space="0" w:color="auto"/>
        <w:left w:val="none" w:sz="0" w:space="0" w:color="auto"/>
        <w:bottom w:val="none" w:sz="0" w:space="0" w:color="auto"/>
        <w:right w:val="none" w:sz="0" w:space="0" w:color="auto"/>
      </w:divBdr>
    </w:div>
    <w:div w:id="1845823616">
      <w:bodyDiv w:val="1"/>
      <w:marLeft w:val="0"/>
      <w:marRight w:val="0"/>
      <w:marTop w:val="0"/>
      <w:marBottom w:val="0"/>
      <w:divBdr>
        <w:top w:val="none" w:sz="0" w:space="0" w:color="auto"/>
        <w:left w:val="none" w:sz="0" w:space="0" w:color="auto"/>
        <w:bottom w:val="none" w:sz="0" w:space="0" w:color="auto"/>
        <w:right w:val="none" w:sz="0" w:space="0" w:color="auto"/>
      </w:divBdr>
    </w:div>
    <w:div w:id="1888447108">
      <w:bodyDiv w:val="1"/>
      <w:marLeft w:val="0"/>
      <w:marRight w:val="0"/>
      <w:marTop w:val="0"/>
      <w:marBottom w:val="0"/>
      <w:divBdr>
        <w:top w:val="none" w:sz="0" w:space="0" w:color="auto"/>
        <w:left w:val="none" w:sz="0" w:space="0" w:color="auto"/>
        <w:bottom w:val="none" w:sz="0" w:space="0" w:color="auto"/>
        <w:right w:val="none" w:sz="0" w:space="0" w:color="auto"/>
      </w:divBdr>
    </w:div>
    <w:div w:id="1935092995">
      <w:bodyDiv w:val="1"/>
      <w:marLeft w:val="0"/>
      <w:marRight w:val="0"/>
      <w:marTop w:val="0"/>
      <w:marBottom w:val="0"/>
      <w:divBdr>
        <w:top w:val="none" w:sz="0" w:space="0" w:color="auto"/>
        <w:left w:val="none" w:sz="0" w:space="0" w:color="auto"/>
        <w:bottom w:val="none" w:sz="0" w:space="0" w:color="auto"/>
        <w:right w:val="none" w:sz="0" w:space="0" w:color="auto"/>
      </w:divBdr>
      <w:divsChild>
        <w:div w:id="711998524">
          <w:marLeft w:val="0"/>
          <w:marRight w:val="0"/>
          <w:marTop w:val="0"/>
          <w:marBottom w:val="0"/>
          <w:divBdr>
            <w:top w:val="none" w:sz="0" w:space="0" w:color="auto"/>
            <w:left w:val="none" w:sz="0" w:space="0" w:color="auto"/>
            <w:bottom w:val="none" w:sz="0" w:space="0" w:color="auto"/>
            <w:right w:val="none" w:sz="0" w:space="0" w:color="auto"/>
          </w:divBdr>
        </w:div>
        <w:div w:id="958877703">
          <w:marLeft w:val="0"/>
          <w:marRight w:val="0"/>
          <w:marTop w:val="0"/>
          <w:marBottom w:val="0"/>
          <w:divBdr>
            <w:top w:val="none" w:sz="0" w:space="0" w:color="auto"/>
            <w:left w:val="none" w:sz="0" w:space="0" w:color="auto"/>
            <w:bottom w:val="none" w:sz="0" w:space="0" w:color="auto"/>
            <w:right w:val="none" w:sz="0" w:space="0" w:color="auto"/>
          </w:divBdr>
        </w:div>
        <w:div w:id="1086655754">
          <w:marLeft w:val="0"/>
          <w:marRight w:val="0"/>
          <w:marTop w:val="0"/>
          <w:marBottom w:val="0"/>
          <w:divBdr>
            <w:top w:val="none" w:sz="0" w:space="0" w:color="auto"/>
            <w:left w:val="none" w:sz="0" w:space="0" w:color="auto"/>
            <w:bottom w:val="none" w:sz="0" w:space="0" w:color="auto"/>
            <w:right w:val="none" w:sz="0" w:space="0" w:color="auto"/>
          </w:divBdr>
          <w:divsChild>
            <w:div w:id="6223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 w:id="1953584673">
      <w:bodyDiv w:val="1"/>
      <w:marLeft w:val="0"/>
      <w:marRight w:val="0"/>
      <w:marTop w:val="0"/>
      <w:marBottom w:val="0"/>
      <w:divBdr>
        <w:top w:val="none" w:sz="0" w:space="0" w:color="auto"/>
        <w:left w:val="none" w:sz="0" w:space="0" w:color="auto"/>
        <w:bottom w:val="none" w:sz="0" w:space="0" w:color="auto"/>
        <w:right w:val="none" w:sz="0" w:space="0" w:color="auto"/>
      </w:divBdr>
    </w:div>
    <w:div w:id="2130391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684bd3222992a56ddc0522b2d22dc7d5">
  <xsd:schema xmlns:xsd="http://www.w3.org/2001/XMLSchema" xmlns:p="http://schemas.microsoft.com/office/2006/metadata/properties" targetNamespace="http://schemas.microsoft.com/office/2006/metadata/properties" ma:root="true" ma:fieldsID="fc811160ca02a9ea17a363220c94b2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82F101-94EC-46C2-80D3-334D62A8E9D7}">
  <ds:schemaRefs>
    <ds:schemaRef ds:uri="http://schemas.openxmlformats.org/officeDocument/2006/bibliography"/>
  </ds:schemaRefs>
</ds:datastoreItem>
</file>

<file path=customXml/itemProps2.xml><?xml version="1.0" encoding="utf-8"?>
<ds:datastoreItem xmlns:ds="http://schemas.openxmlformats.org/officeDocument/2006/customXml" ds:itemID="{D8E1D90B-1FDE-43D8-AB57-6705AB865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94AEE-DAC5-42D3-9080-60DD2CC695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7455</Words>
  <Characters>42495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Copyright 2010</Company>
  <LinksUpToDate>false</LinksUpToDate>
  <CharactersWithSpaces>49851</CharactersWithSpaces>
  <SharedDoc>false</SharedDoc>
  <HLinks>
    <vt:vector size="630" baseType="variant">
      <vt:variant>
        <vt:i4>1638418</vt:i4>
      </vt:variant>
      <vt:variant>
        <vt:i4>792</vt:i4>
      </vt:variant>
      <vt:variant>
        <vt:i4>0</vt:i4>
      </vt:variant>
      <vt:variant>
        <vt:i4>5</vt:i4>
      </vt:variant>
      <vt:variant>
        <vt:lpwstr>http://www.3gpp.org/dynareport/36-series.htm</vt:lpwstr>
      </vt:variant>
      <vt:variant>
        <vt:lpwstr/>
      </vt:variant>
      <vt:variant>
        <vt:i4>2883706</vt:i4>
      </vt:variant>
      <vt:variant>
        <vt:i4>789</vt:i4>
      </vt:variant>
      <vt:variant>
        <vt:i4>0</vt:i4>
      </vt:variant>
      <vt:variant>
        <vt:i4>5</vt:i4>
      </vt:variant>
      <vt:variant>
        <vt:lpwstr>http://gsacom.com/</vt:lpwstr>
      </vt:variant>
      <vt:variant>
        <vt:lpwstr/>
      </vt:variant>
      <vt:variant>
        <vt:i4>7209080</vt:i4>
      </vt:variant>
      <vt:variant>
        <vt:i4>771</vt:i4>
      </vt:variant>
      <vt:variant>
        <vt:i4>0</vt:i4>
      </vt:variant>
      <vt:variant>
        <vt:i4>5</vt:i4>
      </vt:variant>
      <vt:variant>
        <vt:lpwstr>http://www.etsi.org/deliver/etsi_en/301900_301999/30190801/11.01.01_60/en_30190801v110101p.pdf</vt:lpwstr>
      </vt:variant>
      <vt:variant>
        <vt:lpwstr/>
      </vt:variant>
      <vt:variant>
        <vt:i4>7209080</vt:i4>
      </vt:variant>
      <vt:variant>
        <vt:i4>768</vt:i4>
      </vt:variant>
      <vt:variant>
        <vt:i4>0</vt:i4>
      </vt:variant>
      <vt:variant>
        <vt:i4>5</vt:i4>
      </vt:variant>
      <vt:variant>
        <vt:lpwstr>http://www.etsi.org/deliver/etsi_en/301900_301999/30190801/11.01.01_60/en_30190801v110101p.pdf</vt:lpwstr>
      </vt:variant>
      <vt:variant>
        <vt:lpwstr/>
      </vt:variant>
      <vt:variant>
        <vt:i4>393225</vt:i4>
      </vt:variant>
      <vt:variant>
        <vt:i4>759</vt:i4>
      </vt:variant>
      <vt:variant>
        <vt:i4>0</vt:i4>
      </vt:variant>
      <vt:variant>
        <vt:i4>5</vt:i4>
      </vt:variant>
      <vt:variant>
        <vt:lpwstr>http://mic.gov.vn/Attach file/Quy chu%E1%BA%A9n k%C4%A9 thu%E1%BA%ADt/QCVN update 15-03-2012/QCVN 47.pdf</vt:lpwstr>
      </vt:variant>
      <vt:variant>
        <vt:lpwstr/>
      </vt:variant>
      <vt:variant>
        <vt:i4>2687077</vt:i4>
      </vt:variant>
      <vt:variant>
        <vt:i4>756</vt:i4>
      </vt:variant>
      <vt:variant>
        <vt:i4>0</vt:i4>
      </vt:variant>
      <vt:variant>
        <vt:i4>5</vt:i4>
      </vt:variant>
      <vt:variant>
        <vt:lpwstr>http://mic.gov.vn/Attach file/Quy chu%E1%BA%A9n k%C4%A9 thu%E1%BA%ADt/QCVN18 ve tuong thic dien tu doi voi thiet bi thong tin vo tuyen.pdf</vt:lpwstr>
      </vt:variant>
      <vt:variant>
        <vt:lpwstr/>
      </vt:variant>
      <vt:variant>
        <vt:i4>9</vt:i4>
      </vt:variant>
      <vt:variant>
        <vt:i4>753</vt:i4>
      </vt:variant>
      <vt:variant>
        <vt:i4>0</vt:i4>
      </vt:variant>
      <vt:variant>
        <vt:i4>5</vt:i4>
      </vt:variant>
      <vt:variant>
        <vt:lpwstr>http://mic.gov.vn/Attach file/Quy chu%E1%BA%A9n k%C4%A9 thu%E1%BA%ADt/QCVN update 15-03-2012/QCVN 41.pdf</vt:lpwstr>
      </vt:variant>
      <vt:variant>
        <vt:lpwstr/>
      </vt:variant>
      <vt:variant>
        <vt:i4>327688</vt:i4>
      </vt:variant>
      <vt:variant>
        <vt:i4>750</vt:i4>
      </vt:variant>
      <vt:variant>
        <vt:i4>0</vt:i4>
      </vt:variant>
      <vt:variant>
        <vt:i4>5</vt:i4>
      </vt:variant>
      <vt:variant>
        <vt:lpwstr>http://mic.gov.vn/Attach file/Quy chu%E1%BA%A9n k%C4%A9 thu%E1%BA%ADt/QCVN update 26-04-2013/QCVN 16.pdf</vt:lpwstr>
      </vt:variant>
      <vt:variant>
        <vt:lpwstr/>
      </vt:variant>
      <vt:variant>
        <vt:i4>458760</vt:i4>
      </vt:variant>
      <vt:variant>
        <vt:i4>747</vt:i4>
      </vt:variant>
      <vt:variant>
        <vt:i4>0</vt:i4>
      </vt:variant>
      <vt:variant>
        <vt:i4>5</vt:i4>
      </vt:variant>
      <vt:variant>
        <vt:lpwstr>http://mic.gov.vn/Attach file/Quy chu%E1%BA%A9n k%C4%A9 thu%E1%BA%ADt/QCVN update 26-04-2013/QCVN 14.pdf</vt:lpwstr>
      </vt:variant>
      <vt:variant>
        <vt:lpwstr/>
      </vt:variant>
      <vt:variant>
        <vt:i4>7471167</vt:i4>
      </vt:variant>
      <vt:variant>
        <vt:i4>732</vt:i4>
      </vt:variant>
      <vt:variant>
        <vt:i4>0</vt:i4>
      </vt:variant>
      <vt:variant>
        <vt:i4>5</vt:i4>
      </vt:variant>
      <vt:variant>
        <vt:lpwstr>http://dichvumobile.vn/viettel</vt:lpwstr>
      </vt:variant>
      <vt:variant>
        <vt:lpwstr/>
      </vt:variant>
      <vt:variant>
        <vt:i4>7929960</vt:i4>
      </vt:variant>
      <vt:variant>
        <vt:i4>729</vt:i4>
      </vt:variant>
      <vt:variant>
        <vt:i4>0</vt:i4>
      </vt:variant>
      <vt:variant>
        <vt:i4>5</vt:i4>
      </vt:variant>
      <vt:variant>
        <vt:lpwstr>http://dichvumobile.vn/</vt:lpwstr>
      </vt:variant>
      <vt:variant>
        <vt:lpwstr/>
      </vt:variant>
      <vt:variant>
        <vt:i4>6750254</vt:i4>
      </vt:variant>
      <vt:variant>
        <vt:i4>714</vt:i4>
      </vt:variant>
      <vt:variant>
        <vt:i4>0</vt:i4>
      </vt:variant>
      <vt:variant>
        <vt:i4>5</vt:i4>
      </vt:variant>
      <vt:variant>
        <vt:lpwstr>http://dichvumobile.vn/sim</vt:lpwstr>
      </vt:variant>
      <vt:variant>
        <vt:lpwstr/>
      </vt:variant>
      <vt:variant>
        <vt:i4>3145789</vt:i4>
      </vt:variant>
      <vt:variant>
        <vt:i4>711</vt:i4>
      </vt:variant>
      <vt:variant>
        <vt:i4>0</vt:i4>
      </vt:variant>
      <vt:variant>
        <vt:i4>5</vt:i4>
      </vt:variant>
      <vt:variant>
        <vt:lpwstr>http://dichvumobile.vn/dang-ky-3g-mobifone.html</vt:lpwstr>
      </vt:variant>
      <vt:variant>
        <vt:lpwstr/>
      </vt:variant>
      <vt:variant>
        <vt:i4>3670126</vt:i4>
      </vt:variant>
      <vt:variant>
        <vt:i4>654</vt:i4>
      </vt:variant>
      <vt:variant>
        <vt:i4>0</vt:i4>
      </vt:variant>
      <vt:variant>
        <vt:i4>5</vt:i4>
      </vt:variant>
      <vt:variant>
        <vt:lpwstr>https://vi.wikipedia.org/wiki/Streaming</vt:lpwstr>
      </vt:variant>
      <vt:variant>
        <vt:lpwstr/>
      </vt:variant>
      <vt:variant>
        <vt:i4>1769589</vt:i4>
      </vt:variant>
      <vt:variant>
        <vt:i4>651</vt:i4>
      </vt:variant>
      <vt:variant>
        <vt:i4>0</vt:i4>
      </vt:variant>
      <vt:variant>
        <vt:i4>5</vt:i4>
      </vt:variant>
      <vt:variant>
        <vt:lpwstr>https://vi.wikipedia.org/wiki/Video_theo_y%C3%AAu_c%E1%BA%A7u</vt:lpwstr>
      </vt:variant>
      <vt:variant>
        <vt:lpwstr/>
      </vt:variant>
      <vt:variant>
        <vt:i4>8257625</vt:i4>
      </vt:variant>
      <vt:variant>
        <vt:i4>648</vt:i4>
      </vt:variant>
      <vt:variant>
        <vt:i4>0</vt:i4>
      </vt:variant>
      <vt:variant>
        <vt:i4>5</vt:i4>
      </vt:variant>
      <vt:variant>
        <vt:lpwstr>https://vi.wikipedia.org/wiki/%C4%90i%E1%BB%87n_tho%E1%BA%A1i_di_%C4%91%E1%BB%99ng</vt:lpwstr>
      </vt:variant>
      <vt:variant>
        <vt:lpwstr/>
      </vt:variant>
      <vt:variant>
        <vt:i4>5898295</vt:i4>
      </vt:variant>
      <vt:variant>
        <vt:i4>645</vt:i4>
      </vt:variant>
      <vt:variant>
        <vt:i4>0</vt:i4>
      </vt:variant>
      <vt:variant>
        <vt:i4>5</vt:i4>
      </vt:variant>
      <vt:variant>
        <vt:lpwstr>https://vi.wikipedia.org/wiki/C%C3%A1p_quang</vt:lpwstr>
      </vt:variant>
      <vt:variant>
        <vt:lpwstr/>
      </vt:variant>
      <vt:variant>
        <vt:i4>6553618</vt:i4>
      </vt:variant>
      <vt:variant>
        <vt:i4>642</vt:i4>
      </vt:variant>
      <vt:variant>
        <vt:i4>0</vt:i4>
      </vt:variant>
      <vt:variant>
        <vt:i4>5</vt:i4>
      </vt:variant>
      <vt:variant>
        <vt:lpwstr>https://vi.wikipedia.org/wiki/Trung_Qu%E1%BB%91c</vt:lpwstr>
      </vt:variant>
      <vt:variant>
        <vt:lpwstr/>
      </vt:variant>
      <vt:variant>
        <vt:i4>5046307</vt:i4>
      </vt:variant>
      <vt:variant>
        <vt:i4>639</vt:i4>
      </vt:variant>
      <vt:variant>
        <vt:i4>0</vt:i4>
      </vt:variant>
      <vt:variant>
        <vt:i4>5</vt:i4>
      </vt:variant>
      <vt:variant>
        <vt:lpwstr>https://vi.wikipedia.org/wiki/Qu%E1%BA%A3ng_%C4%90%C3%B4ng</vt:lpwstr>
      </vt:variant>
      <vt:variant>
        <vt:lpwstr/>
      </vt:variant>
      <vt:variant>
        <vt:i4>2687042</vt:i4>
      </vt:variant>
      <vt:variant>
        <vt:i4>636</vt:i4>
      </vt:variant>
      <vt:variant>
        <vt:i4>0</vt:i4>
      </vt:variant>
      <vt:variant>
        <vt:i4>5</vt:i4>
      </vt:variant>
      <vt:variant>
        <vt:lpwstr>https://vi.wikipedia.org/wiki/Th%C3%A2m_Quy%E1%BA%BFn</vt:lpwstr>
      </vt:variant>
      <vt:variant>
        <vt:lpwstr/>
      </vt:variant>
      <vt:variant>
        <vt:i4>7995512</vt:i4>
      </vt:variant>
      <vt:variant>
        <vt:i4>633</vt:i4>
      </vt:variant>
      <vt:variant>
        <vt:i4>0</vt:i4>
      </vt:variant>
      <vt:variant>
        <vt:i4>5</vt:i4>
      </vt:variant>
      <vt:variant>
        <vt:lpwstr>https://vi.wikipedia.org/wiki/C%C3%B4ng_ty_%C4%91a_qu%E1%BB%91c_gia</vt:lpwstr>
      </vt:variant>
      <vt:variant>
        <vt:lpwstr/>
      </vt:variant>
      <vt:variant>
        <vt:i4>3276864</vt:i4>
      </vt:variant>
      <vt:variant>
        <vt:i4>630</vt:i4>
      </vt:variant>
      <vt:variant>
        <vt:i4>0</vt:i4>
      </vt:variant>
      <vt:variant>
        <vt:i4>5</vt:i4>
      </vt:variant>
      <vt:variant>
        <vt:lpwstr>https://vi.wikipedia.org/w/index.php?title=Thi%E1%BA%BFt_b%E1%BB%8B_vi%E1%BB%85n_th%C3%B4ng&amp;action=edit&amp;redlink=1</vt:lpwstr>
      </vt:variant>
      <vt:variant>
        <vt:lpwstr/>
      </vt:variant>
      <vt:variant>
        <vt:i4>1966130</vt:i4>
      </vt:variant>
      <vt:variant>
        <vt:i4>503</vt:i4>
      </vt:variant>
      <vt:variant>
        <vt:i4>0</vt:i4>
      </vt:variant>
      <vt:variant>
        <vt:i4>5</vt:i4>
      </vt:variant>
      <vt:variant>
        <vt:lpwstr/>
      </vt:variant>
      <vt:variant>
        <vt:lpwstr>_Toc466038377</vt:lpwstr>
      </vt:variant>
      <vt:variant>
        <vt:i4>1966130</vt:i4>
      </vt:variant>
      <vt:variant>
        <vt:i4>497</vt:i4>
      </vt:variant>
      <vt:variant>
        <vt:i4>0</vt:i4>
      </vt:variant>
      <vt:variant>
        <vt:i4>5</vt:i4>
      </vt:variant>
      <vt:variant>
        <vt:lpwstr/>
      </vt:variant>
      <vt:variant>
        <vt:lpwstr>_Toc466038376</vt:lpwstr>
      </vt:variant>
      <vt:variant>
        <vt:i4>1966130</vt:i4>
      </vt:variant>
      <vt:variant>
        <vt:i4>491</vt:i4>
      </vt:variant>
      <vt:variant>
        <vt:i4>0</vt:i4>
      </vt:variant>
      <vt:variant>
        <vt:i4>5</vt:i4>
      </vt:variant>
      <vt:variant>
        <vt:lpwstr/>
      </vt:variant>
      <vt:variant>
        <vt:lpwstr>_Toc466038375</vt:lpwstr>
      </vt:variant>
      <vt:variant>
        <vt:i4>1966130</vt:i4>
      </vt:variant>
      <vt:variant>
        <vt:i4>485</vt:i4>
      </vt:variant>
      <vt:variant>
        <vt:i4>0</vt:i4>
      </vt:variant>
      <vt:variant>
        <vt:i4>5</vt:i4>
      </vt:variant>
      <vt:variant>
        <vt:lpwstr/>
      </vt:variant>
      <vt:variant>
        <vt:lpwstr>_Toc466038374</vt:lpwstr>
      </vt:variant>
      <vt:variant>
        <vt:i4>1966130</vt:i4>
      </vt:variant>
      <vt:variant>
        <vt:i4>479</vt:i4>
      </vt:variant>
      <vt:variant>
        <vt:i4>0</vt:i4>
      </vt:variant>
      <vt:variant>
        <vt:i4>5</vt:i4>
      </vt:variant>
      <vt:variant>
        <vt:lpwstr/>
      </vt:variant>
      <vt:variant>
        <vt:lpwstr>_Toc466038373</vt:lpwstr>
      </vt:variant>
      <vt:variant>
        <vt:i4>1966130</vt:i4>
      </vt:variant>
      <vt:variant>
        <vt:i4>473</vt:i4>
      </vt:variant>
      <vt:variant>
        <vt:i4>0</vt:i4>
      </vt:variant>
      <vt:variant>
        <vt:i4>5</vt:i4>
      </vt:variant>
      <vt:variant>
        <vt:lpwstr/>
      </vt:variant>
      <vt:variant>
        <vt:lpwstr>_Toc466038372</vt:lpwstr>
      </vt:variant>
      <vt:variant>
        <vt:i4>1966130</vt:i4>
      </vt:variant>
      <vt:variant>
        <vt:i4>467</vt:i4>
      </vt:variant>
      <vt:variant>
        <vt:i4>0</vt:i4>
      </vt:variant>
      <vt:variant>
        <vt:i4>5</vt:i4>
      </vt:variant>
      <vt:variant>
        <vt:lpwstr/>
      </vt:variant>
      <vt:variant>
        <vt:lpwstr>_Toc466038371</vt:lpwstr>
      </vt:variant>
      <vt:variant>
        <vt:i4>1966130</vt:i4>
      </vt:variant>
      <vt:variant>
        <vt:i4>461</vt:i4>
      </vt:variant>
      <vt:variant>
        <vt:i4>0</vt:i4>
      </vt:variant>
      <vt:variant>
        <vt:i4>5</vt:i4>
      </vt:variant>
      <vt:variant>
        <vt:lpwstr/>
      </vt:variant>
      <vt:variant>
        <vt:lpwstr>_Toc466038370</vt:lpwstr>
      </vt:variant>
      <vt:variant>
        <vt:i4>2031666</vt:i4>
      </vt:variant>
      <vt:variant>
        <vt:i4>455</vt:i4>
      </vt:variant>
      <vt:variant>
        <vt:i4>0</vt:i4>
      </vt:variant>
      <vt:variant>
        <vt:i4>5</vt:i4>
      </vt:variant>
      <vt:variant>
        <vt:lpwstr/>
      </vt:variant>
      <vt:variant>
        <vt:lpwstr>_Toc466038369</vt:lpwstr>
      </vt:variant>
      <vt:variant>
        <vt:i4>2031666</vt:i4>
      </vt:variant>
      <vt:variant>
        <vt:i4>449</vt:i4>
      </vt:variant>
      <vt:variant>
        <vt:i4>0</vt:i4>
      </vt:variant>
      <vt:variant>
        <vt:i4>5</vt:i4>
      </vt:variant>
      <vt:variant>
        <vt:lpwstr/>
      </vt:variant>
      <vt:variant>
        <vt:lpwstr>_Toc466038368</vt:lpwstr>
      </vt:variant>
      <vt:variant>
        <vt:i4>2031666</vt:i4>
      </vt:variant>
      <vt:variant>
        <vt:i4>443</vt:i4>
      </vt:variant>
      <vt:variant>
        <vt:i4>0</vt:i4>
      </vt:variant>
      <vt:variant>
        <vt:i4>5</vt:i4>
      </vt:variant>
      <vt:variant>
        <vt:lpwstr/>
      </vt:variant>
      <vt:variant>
        <vt:lpwstr>_Toc466038367</vt:lpwstr>
      </vt:variant>
      <vt:variant>
        <vt:i4>2031666</vt:i4>
      </vt:variant>
      <vt:variant>
        <vt:i4>437</vt:i4>
      </vt:variant>
      <vt:variant>
        <vt:i4>0</vt:i4>
      </vt:variant>
      <vt:variant>
        <vt:i4>5</vt:i4>
      </vt:variant>
      <vt:variant>
        <vt:lpwstr/>
      </vt:variant>
      <vt:variant>
        <vt:lpwstr>_Toc466038366</vt:lpwstr>
      </vt:variant>
      <vt:variant>
        <vt:i4>2031666</vt:i4>
      </vt:variant>
      <vt:variant>
        <vt:i4>431</vt:i4>
      </vt:variant>
      <vt:variant>
        <vt:i4>0</vt:i4>
      </vt:variant>
      <vt:variant>
        <vt:i4>5</vt:i4>
      </vt:variant>
      <vt:variant>
        <vt:lpwstr/>
      </vt:variant>
      <vt:variant>
        <vt:lpwstr>_Toc466038365</vt:lpwstr>
      </vt:variant>
      <vt:variant>
        <vt:i4>2031666</vt:i4>
      </vt:variant>
      <vt:variant>
        <vt:i4>425</vt:i4>
      </vt:variant>
      <vt:variant>
        <vt:i4>0</vt:i4>
      </vt:variant>
      <vt:variant>
        <vt:i4>5</vt:i4>
      </vt:variant>
      <vt:variant>
        <vt:lpwstr/>
      </vt:variant>
      <vt:variant>
        <vt:lpwstr>_Toc466038364</vt:lpwstr>
      </vt:variant>
      <vt:variant>
        <vt:i4>2031666</vt:i4>
      </vt:variant>
      <vt:variant>
        <vt:i4>419</vt:i4>
      </vt:variant>
      <vt:variant>
        <vt:i4>0</vt:i4>
      </vt:variant>
      <vt:variant>
        <vt:i4>5</vt:i4>
      </vt:variant>
      <vt:variant>
        <vt:lpwstr/>
      </vt:variant>
      <vt:variant>
        <vt:lpwstr>_Toc466038363</vt:lpwstr>
      </vt:variant>
      <vt:variant>
        <vt:i4>2031666</vt:i4>
      </vt:variant>
      <vt:variant>
        <vt:i4>413</vt:i4>
      </vt:variant>
      <vt:variant>
        <vt:i4>0</vt:i4>
      </vt:variant>
      <vt:variant>
        <vt:i4>5</vt:i4>
      </vt:variant>
      <vt:variant>
        <vt:lpwstr/>
      </vt:variant>
      <vt:variant>
        <vt:lpwstr>_Toc466038362</vt:lpwstr>
      </vt:variant>
      <vt:variant>
        <vt:i4>2031666</vt:i4>
      </vt:variant>
      <vt:variant>
        <vt:i4>407</vt:i4>
      </vt:variant>
      <vt:variant>
        <vt:i4>0</vt:i4>
      </vt:variant>
      <vt:variant>
        <vt:i4>5</vt:i4>
      </vt:variant>
      <vt:variant>
        <vt:lpwstr/>
      </vt:variant>
      <vt:variant>
        <vt:lpwstr>_Toc466038361</vt:lpwstr>
      </vt:variant>
      <vt:variant>
        <vt:i4>2031666</vt:i4>
      </vt:variant>
      <vt:variant>
        <vt:i4>401</vt:i4>
      </vt:variant>
      <vt:variant>
        <vt:i4>0</vt:i4>
      </vt:variant>
      <vt:variant>
        <vt:i4>5</vt:i4>
      </vt:variant>
      <vt:variant>
        <vt:lpwstr/>
      </vt:variant>
      <vt:variant>
        <vt:lpwstr>_Toc466038360</vt:lpwstr>
      </vt:variant>
      <vt:variant>
        <vt:i4>1638461</vt:i4>
      </vt:variant>
      <vt:variant>
        <vt:i4>389</vt:i4>
      </vt:variant>
      <vt:variant>
        <vt:i4>0</vt:i4>
      </vt:variant>
      <vt:variant>
        <vt:i4>5</vt:i4>
      </vt:variant>
      <vt:variant>
        <vt:lpwstr/>
      </vt:variant>
      <vt:variant>
        <vt:lpwstr>_Toc464688565</vt:lpwstr>
      </vt:variant>
      <vt:variant>
        <vt:i4>1638461</vt:i4>
      </vt:variant>
      <vt:variant>
        <vt:i4>383</vt:i4>
      </vt:variant>
      <vt:variant>
        <vt:i4>0</vt:i4>
      </vt:variant>
      <vt:variant>
        <vt:i4>5</vt:i4>
      </vt:variant>
      <vt:variant>
        <vt:lpwstr/>
      </vt:variant>
      <vt:variant>
        <vt:lpwstr>_Toc464688564</vt:lpwstr>
      </vt:variant>
      <vt:variant>
        <vt:i4>1638461</vt:i4>
      </vt:variant>
      <vt:variant>
        <vt:i4>377</vt:i4>
      </vt:variant>
      <vt:variant>
        <vt:i4>0</vt:i4>
      </vt:variant>
      <vt:variant>
        <vt:i4>5</vt:i4>
      </vt:variant>
      <vt:variant>
        <vt:lpwstr/>
      </vt:variant>
      <vt:variant>
        <vt:lpwstr>_Toc464688563</vt:lpwstr>
      </vt:variant>
      <vt:variant>
        <vt:i4>1638461</vt:i4>
      </vt:variant>
      <vt:variant>
        <vt:i4>371</vt:i4>
      </vt:variant>
      <vt:variant>
        <vt:i4>0</vt:i4>
      </vt:variant>
      <vt:variant>
        <vt:i4>5</vt:i4>
      </vt:variant>
      <vt:variant>
        <vt:lpwstr/>
      </vt:variant>
      <vt:variant>
        <vt:lpwstr>_Toc464688562</vt:lpwstr>
      </vt:variant>
      <vt:variant>
        <vt:i4>1638461</vt:i4>
      </vt:variant>
      <vt:variant>
        <vt:i4>365</vt:i4>
      </vt:variant>
      <vt:variant>
        <vt:i4>0</vt:i4>
      </vt:variant>
      <vt:variant>
        <vt:i4>5</vt:i4>
      </vt:variant>
      <vt:variant>
        <vt:lpwstr/>
      </vt:variant>
      <vt:variant>
        <vt:lpwstr>_Toc464688561</vt:lpwstr>
      </vt:variant>
      <vt:variant>
        <vt:i4>1638461</vt:i4>
      </vt:variant>
      <vt:variant>
        <vt:i4>359</vt:i4>
      </vt:variant>
      <vt:variant>
        <vt:i4>0</vt:i4>
      </vt:variant>
      <vt:variant>
        <vt:i4>5</vt:i4>
      </vt:variant>
      <vt:variant>
        <vt:lpwstr/>
      </vt:variant>
      <vt:variant>
        <vt:lpwstr>_Toc464688560</vt:lpwstr>
      </vt:variant>
      <vt:variant>
        <vt:i4>1703997</vt:i4>
      </vt:variant>
      <vt:variant>
        <vt:i4>353</vt:i4>
      </vt:variant>
      <vt:variant>
        <vt:i4>0</vt:i4>
      </vt:variant>
      <vt:variant>
        <vt:i4>5</vt:i4>
      </vt:variant>
      <vt:variant>
        <vt:lpwstr/>
      </vt:variant>
      <vt:variant>
        <vt:lpwstr>_Toc464688559</vt:lpwstr>
      </vt:variant>
      <vt:variant>
        <vt:i4>1703997</vt:i4>
      </vt:variant>
      <vt:variant>
        <vt:i4>347</vt:i4>
      </vt:variant>
      <vt:variant>
        <vt:i4>0</vt:i4>
      </vt:variant>
      <vt:variant>
        <vt:i4>5</vt:i4>
      </vt:variant>
      <vt:variant>
        <vt:lpwstr/>
      </vt:variant>
      <vt:variant>
        <vt:lpwstr>_Toc464688558</vt:lpwstr>
      </vt:variant>
      <vt:variant>
        <vt:i4>1703997</vt:i4>
      </vt:variant>
      <vt:variant>
        <vt:i4>341</vt:i4>
      </vt:variant>
      <vt:variant>
        <vt:i4>0</vt:i4>
      </vt:variant>
      <vt:variant>
        <vt:i4>5</vt:i4>
      </vt:variant>
      <vt:variant>
        <vt:lpwstr/>
      </vt:variant>
      <vt:variant>
        <vt:lpwstr>_Toc464688557</vt:lpwstr>
      </vt:variant>
      <vt:variant>
        <vt:i4>1703997</vt:i4>
      </vt:variant>
      <vt:variant>
        <vt:i4>335</vt:i4>
      </vt:variant>
      <vt:variant>
        <vt:i4>0</vt:i4>
      </vt:variant>
      <vt:variant>
        <vt:i4>5</vt:i4>
      </vt:variant>
      <vt:variant>
        <vt:lpwstr/>
      </vt:variant>
      <vt:variant>
        <vt:lpwstr>_Toc464688555</vt:lpwstr>
      </vt:variant>
      <vt:variant>
        <vt:i4>1703997</vt:i4>
      </vt:variant>
      <vt:variant>
        <vt:i4>329</vt:i4>
      </vt:variant>
      <vt:variant>
        <vt:i4>0</vt:i4>
      </vt:variant>
      <vt:variant>
        <vt:i4>5</vt:i4>
      </vt:variant>
      <vt:variant>
        <vt:lpwstr/>
      </vt:variant>
      <vt:variant>
        <vt:lpwstr>_Toc464688554</vt:lpwstr>
      </vt:variant>
      <vt:variant>
        <vt:i4>1703997</vt:i4>
      </vt:variant>
      <vt:variant>
        <vt:i4>323</vt:i4>
      </vt:variant>
      <vt:variant>
        <vt:i4>0</vt:i4>
      </vt:variant>
      <vt:variant>
        <vt:i4>5</vt:i4>
      </vt:variant>
      <vt:variant>
        <vt:lpwstr/>
      </vt:variant>
      <vt:variant>
        <vt:lpwstr>_Toc464688553</vt:lpwstr>
      </vt:variant>
      <vt:variant>
        <vt:i4>1703997</vt:i4>
      </vt:variant>
      <vt:variant>
        <vt:i4>317</vt:i4>
      </vt:variant>
      <vt:variant>
        <vt:i4>0</vt:i4>
      </vt:variant>
      <vt:variant>
        <vt:i4>5</vt:i4>
      </vt:variant>
      <vt:variant>
        <vt:lpwstr/>
      </vt:variant>
      <vt:variant>
        <vt:lpwstr>_Toc464688552</vt:lpwstr>
      </vt:variant>
      <vt:variant>
        <vt:i4>1900594</vt:i4>
      </vt:variant>
      <vt:variant>
        <vt:i4>308</vt:i4>
      </vt:variant>
      <vt:variant>
        <vt:i4>0</vt:i4>
      </vt:variant>
      <vt:variant>
        <vt:i4>5</vt:i4>
      </vt:variant>
      <vt:variant>
        <vt:lpwstr/>
      </vt:variant>
      <vt:variant>
        <vt:lpwstr>_Toc466038345</vt:lpwstr>
      </vt:variant>
      <vt:variant>
        <vt:i4>1900594</vt:i4>
      </vt:variant>
      <vt:variant>
        <vt:i4>302</vt:i4>
      </vt:variant>
      <vt:variant>
        <vt:i4>0</vt:i4>
      </vt:variant>
      <vt:variant>
        <vt:i4>5</vt:i4>
      </vt:variant>
      <vt:variant>
        <vt:lpwstr/>
      </vt:variant>
      <vt:variant>
        <vt:lpwstr>_Toc466038344</vt:lpwstr>
      </vt:variant>
      <vt:variant>
        <vt:i4>1900594</vt:i4>
      </vt:variant>
      <vt:variant>
        <vt:i4>296</vt:i4>
      </vt:variant>
      <vt:variant>
        <vt:i4>0</vt:i4>
      </vt:variant>
      <vt:variant>
        <vt:i4>5</vt:i4>
      </vt:variant>
      <vt:variant>
        <vt:lpwstr/>
      </vt:variant>
      <vt:variant>
        <vt:lpwstr>_Toc466038342</vt:lpwstr>
      </vt:variant>
      <vt:variant>
        <vt:i4>1900594</vt:i4>
      </vt:variant>
      <vt:variant>
        <vt:i4>290</vt:i4>
      </vt:variant>
      <vt:variant>
        <vt:i4>0</vt:i4>
      </vt:variant>
      <vt:variant>
        <vt:i4>5</vt:i4>
      </vt:variant>
      <vt:variant>
        <vt:lpwstr/>
      </vt:variant>
      <vt:variant>
        <vt:lpwstr>_Toc466038341</vt:lpwstr>
      </vt:variant>
      <vt:variant>
        <vt:i4>1900594</vt:i4>
      </vt:variant>
      <vt:variant>
        <vt:i4>284</vt:i4>
      </vt:variant>
      <vt:variant>
        <vt:i4>0</vt:i4>
      </vt:variant>
      <vt:variant>
        <vt:i4>5</vt:i4>
      </vt:variant>
      <vt:variant>
        <vt:lpwstr/>
      </vt:variant>
      <vt:variant>
        <vt:lpwstr>_Toc466038340</vt:lpwstr>
      </vt:variant>
      <vt:variant>
        <vt:i4>1703986</vt:i4>
      </vt:variant>
      <vt:variant>
        <vt:i4>278</vt:i4>
      </vt:variant>
      <vt:variant>
        <vt:i4>0</vt:i4>
      </vt:variant>
      <vt:variant>
        <vt:i4>5</vt:i4>
      </vt:variant>
      <vt:variant>
        <vt:lpwstr/>
      </vt:variant>
      <vt:variant>
        <vt:lpwstr>_Toc466038339</vt:lpwstr>
      </vt:variant>
      <vt:variant>
        <vt:i4>1703986</vt:i4>
      </vt:variant>
      <vt:variant>
        <vt:i4>272</vt:i4>
      </vt:variant>
      <vt:variant>
        <vt:i4>0</vt:i4>
      </vt:variant>
      <vt:variant>
        <vt:i4>5</vt:i4>
      </vt:variant>
      <vt:variant>
        <vt:lpwstr/>
      </vt:variant>
      <vt:variant>
        <vt:lpwstr>_Toc466038336</vt:lpwstr>
      </vt:variant>
      <vt:variant>
        <vt:i4>1703986</vt:i4>
      </vt:variant>
      <vt:variant>
        <vt:i4>266</vt:i4>
      </vt:variant>
      <vt:variant>
        <vt:i4>0</vt:i4>
      </vt:variant>
      <vt:variant>
        <vt:i4>5</vt:i4>
      </vt:variant>
      <vt:variant>
        <vt:lpwstr/>
      </vt:variant>
      <vt:variant>
        <vt:lpwstr>_Toc466038335</vt:lpwstr>
      </vt:variant>
      <vt:variant>
        <vt:i4>1703986</vt:i4>
      </vt:variant>
      <vt:variant>
        <vt:i4>260</vt:i4>
      </vt:variant>
      <vt:variant>
        <vt:i4>0</vt:i4>
      </vt:variant>
      <vt:variant>
        <vt:i4>5</vt:i4>
      </vt:variant>
      <vt:variant>
        <vt:lpwstr/>
      </vt:variant>
      <vt:variant>
        <vt:lpwstr>_Toc466038334</vt:lpwstr>
      </vt:variant>
      <vt:variant>
        <vt:i4>1703986</vt:i4>
      </vt:variant>
      <vt:variant>
        <vt:i4>254</vt:i4>
      </vt:variant>
      <vt:variant>
        <vt:i4>0</vt:i4>
      </vt:variant>
      <vt:variant>
        <vt:i4>5</vt:i4>
      </vt:variant>
      <vt:variant>
        <vt:lpwstr/>
      </vt:variant>
      <vt:variant>
        <vt:lpwstr>_Toc466038333</vt:lpwstr>
      </vt:variant>
      <vt:variant>
        <vt:i4>1703986</vt:i4>
      </vt:variant>
      <vt:variant>
        <vt:i4>248</vt:i4>
      </vt:variant>
      <vt:variant>
        <vt:i4>0</vt:i4>
      </vt:variant>
      <vt:variant>
        <vt:i4>5</vt:i4>
      </vt:variant>
      <vt:variant>
        <vt:lpwstr/>
      </vt:variant>
      <vt:variant>
        <vt:lpwstr>_Toc466038332</vt:lpwstr>
      </vt:variant>
      <vt:variant>
        <vt:i4>1703986</vt:i4>
      </vt:variant>
      <vt:variant>
        <vt:i4>242</vt:i4>
      </vt:variant>
      <vt:variant>
        <vt:i4>0</vt:i4>
      </vt:variant>
      <vt:variant>
        <vt:i4>5</vt:i4>
      </vt:variant>
      <vt:variant>
        <vt:lpwstr/>
      </vt:variant>
      <vt:variant>
        <vt:lpwstr>_Toc466038331</vt:lpwstr>
      </vt:variant>
      <vt:variant>
        <vt:i4>1703986</vt:i4>
      </vt:variant>
      <vt:variant>
        <vt:i4>236</vt:i4>
      </vt:variant>
      <vt:variant>
        <vt:i4>0</vt:i4>
      </vt:variant>
      <vt:variant>
        <vt:i4>5</vt:i4>
      </vt:variant>
      <vt:variant>
        <vt:lpwstr/>
      </vt:variant>
      <vt:variant>
        <vt:lpwstr>_Toc466038330</vt:lpwstr>
      </vt:variant>
      <vt:variant>
        <vt:i4>1769522</vt:i4>
      </vt:variant>
      <vt:variant>
        <vt:i4>230</vt:i4>
      </vt:variant>
      <vt:variant>
        <vt:i4>0</vt:i4>
      </vt:variant>
      <vt:variant>
        <vt:i4>5</vt:i4>
      </vt:variant>
      <vt:variant>
        <vt:lpwstr/>
      </vt:variant>
      <vt:variant>
        <vt:lpwstr>_Toc466038329</vt:lpwstr>
      </vt:variant>
      <vt:variant>
        <vt:i4>1769522</vt:i4>
      </vt:variant>
      <vt:variant>
        <vt:i4>224</vt:i4>
      </vt:variant>
      <vt:variant>
        <vt:i4>0</vt:i4>
      </vt:variant>
      <vt:variant>
        <vt:i4>5</vt:i4>
      </vt:variant>
      <vt:variant>
        <vt:lpwstr/>
      </vt:variant>
      <vt:variant>
        <vt:lpwstr>_Toc466038328</vt:lpwstr>
      </vt:variant>
      <vt:variant>
        <vt:i4>1769522</vt:i4>
      </vt:variant>
      <vt:variant>
        <vt:i4>218</vt:i4>
      </vt:variant>
      <vt:variant>
        <vt:i4>0</vt:i4>
      </vt:variant>
      <vt:variant>
        <vt:i4>5</vt:i4>
      </vt:variant>
      <vt:variant>
        <vt:lpwstr/>
      </vt:variant>
      <vt:variant>
        <vt:lpwstr>_Toc466038327</vt:lpwstr>
      </vt:variant>
      <vt:variant>
        <vt:i4>1769522</vt:i4>
      </vt:variant>
      <vt:variant>
        <vt:i4>212</vt:i4>
      </vt:variant>
      <vt:variant>
        <vt:i4>0</vt:i4>
      </vt:variant>
      <vt:variant>
        <vt:i4>5</vt:i4>
      </vt:variant>
      <vt:variant>
        <vt:lpwstr/>
      </vt:variant>
      <vt:variant>
        <vt:lpwstr>_Toc466038324</vt:lpwstr>
      </vt:variant>
      <vt:variant>
        <vt:i4>1769522</vt:i4>
      </vt:variant>
      <vt:variant>
        <vt:i4>206</vt:i4>
      </vt:variant>
      <vt:variant>
        <vt:i4>0</vt:i4>
      </vt:variant>
      <vt:variant>
        <vt:i4>5</vt:i4>
      </vt:variant>
      <vt:variant>
        <vt:lpwstr/>
      </vt:variant>
      <vt:variant>
        <vt:lpwstr>_Toc466038323</vt:lpwstr>
      </vt:variant>
      <vt:variant>
        <vt:i4>1769522</vt:i4>
      </vt:variant>
      <vt:variant>
        <vt:i4>200</vt:i4>
      </vt:variant>
      <vt:variant>
        <vt:i4>0</vt:i4>
      </vt:variant>
      <vt:variant>
        <vt:i4>5</vt:i4>
      </vt:variant>
      <vt:variant>
        <vt:lpwstr/>
      </vt:variant>
      <vt:variant>
        <vt:lpwstr>_Toc466038322</vt:lpwstr>
      </vt:variant>
      <vt:variant>
        <vt:i4>1769522</vt:i4>
      </vt:variant>
      <vt:variant>
        <vt:i4>194</vt:i4>
      </vt:variant>
      <vt:variant>
        <vt:i4>0</vt:i4>
      </vt:variant>
      <vt:variant>
        <vt:i4>5</vt:i4>
      </vt:variant>
      <vt:variant>
        <vt:lpwstr/>
      </vt:variant>
      <vt:variant>
        <vt:lpwstr>_Toc466038321</vt:lpwstr>
      </vt:variant>
      <vt:variant>
        <vt:i4>1769522</vt:i4>
      </vt:variant>
      <vt:variant>
        <vt:i4>188</vt:i4>
      </vt:variant>
      <vt:variant>
        <vt:i4>0</vt:i4>
      </vt:variant>
      <vt:variant>
        <vt:i4>5</vt:i4>
      </vt:variant>
      <vt:variant>
        <vt:lpwstr/>
      </vt:variant>
      <vt:variant>
        <vt:lpwstr>_Toc466038320</vt:lpwstr>
      </vt:variant>
      <vt:variant>
        <vt:i4>1572914</vt:i4>
      </vt:variant>
      <vt:variant>
        <vt:i4>182</vt:i4>
      </vt:variant>
      <vt:variant>
        <vt:i4>0</vt:i4>
      </vt:variant>
      <vt:variant>
        <vt:i4>5</vt:i4>
      </vt:variant>
      <vt:variant>
        <vt:lpwstr/>
      </vt:variant>
      <vt:variant>
        <vt:lpwstr>_Toc466038319</vt:lpwstr>
      </vt:variant>
      <vt:variant>
        <vt:i4>1572914</vt:i4>
      </vt:variant>
      <vt:variant>
        <vt:i4>176</vt:i4>
      </vt:variant>
      <vt:variant>
        <vt:i4>0</vt:i4>
      </vt:variant>
      <vt:variant>
        <vt:i4>5</vt:i4>
      </vt:variant>
      <vt:variant>
        <vt:lpwstr/>
      </vt:variant>
      <vt:variant>
        <vt:lpwstr>_Toc466038317</vt:lpwstr>
      </vt:variant>
      <vt:variant>
        <vt:i4>1572914</vt:i4>
      </vt:variant>
      <vt:variant>
        <vt:i4>170</vt:i4>
      </vt:variant>
      <vt:variant>
        <vt:i4>0</vt:i4>
      </vt:variant>
      <vt:variant>
        <vt:i4>5</vt:i4>
      </vt:variant>
      <vt:variant>
        <vt:lpwstr/>
      </vt:variant>
      <vt:variant>
        <vt:lpwstr>_Toc466038316</vt:lpwstr>
      </vt:variant>
      <vt:variant>
        <vt:i4>1572914</vt:i4>
      </vt:variant>
      <vt:variant>
        <vt:i4>164</vt:i4>
      </vt:variant>
      <vt:variant>
        <vt:i4>0</vt:i4>
      </vt:variant>
      <vt:variant>
        <vt:i4>5</vt:i4>
      </vt:variant>
      <vt:variant>
        <vt:lpwstr/>
      </vt:variant>
      <vt:variant>
        <vt:lpwstr>_Toc466038315</vt:lpwstr>
      </vt:variant>
      <vt:variant>
        <vt:i4>1572914</vt:i4>
      </vt:variant>
      <vt:variant>
        <vt:i4>158</vt:i4>
      </vt:variant>
      <vt:variant>
        <vt:i4>0</vt:i4>
      </vt:variant>
      <vt:variant>
        <vt:i4>5</vt:i4>
      </vt:variant>
      <vt:variant>
        <vt:lpwstr/>
      </vt:variant>
      <vt:variant>
        <vt:lpwstr>_Toc466038314</vt:lpwstr>
      </vt:variant>
      <vt:variant>
        <vt:i4>1572914</vt:i4>
      </vt:variant>
      <vt:variant>
        <vt:i4>152</vt:i4>
      </vt:variant>
      <vt:variant>
        <vt:i4>0</vt:i4>
      </vt:variant>
      <vt:variant>
        <vt:i4>5</vt:i4>
      </vt:variant>
      <vt:variant>
        <vt:lpwstr/>
      </vt:variant>
      <vt:variant>
        <vt:lpwstr>_Toc466038313</vt:lpwstr>
      </vt:variant>
      <vt:variant>
        <vt:i4>1572914</vt:i4>
      </vt:variant>
      <vt:variant>
        <vt:i4>146</vt:i4>
      </vt:variant>
      <vt:variant>
        <vt:i4>0</vt:i4>
      </vt:variant>
      <vt:variant>
        <vt:i4>5</vt:i4>
      </vt:variant>
      <vt:variant>
        <vt:lpwstr/>
      </vt:variant>
      <vt:variant>
        <vt:lpwstr>_Toc466038312</vt:lpwstr>
      </vt:variant>
      <vt:variant>
        <vt:i4>1572914</vt:i4>
      </vt:variant>
      <vt:variant>
        <vt:i4>140</vt:i4>
      </vt:variant>
      <vt:variant>
        <vt:i4>0</vt:i4>
      </vt:variant>
      <vt:variant>
        <vt:i4>5</vt:i4>
      </vt:variant>
      <vt:variant>
        <vt:lpwstr/>
      </vt:variant>
      <vt:variant>
        <vt:lpwstr>_Toc466038310</vt:lpwstr>
      </vt:variant>
      <vt:variant>
        <vt:i4>1638450</vt:i4>
      </vt:variant>
      <vt:variant>
        <vt:i4>134</vt:i4>
      </vt:variant>
      <vt:variant>
        <vt:i4>0</vt:i4>
      </vt:variant>
      <vt:variant>
        <vt:i4>5</vt:i4>
      </vt:variant>
      <vt:variant>
        <vt:lpwstr/>
      </vt:variant>
      <vt:variant>
        <vt:lpwstr>_Toc466038309</vt:lpwstr>
      </vt:variant>
      <vt:variant>
        <vt:i4>1638450</vt:i4>
      </vt:variant>
      <vt:variant>
        <vt:i4>128</vt:i4>
      </vt:variant>
      <vt:variant>
        <vt:i4>0</vt:i4>
      </vt:variant>
      <vt:variant>
        <vt:i4>5</vt:i4>
      </vt:variant>
      <vt:variant>
        <vt:lpwstr/>
      </vt:variant>
      <vt:variant>
        <vt:lpwstr>_Toc466038308</vt:lpwstr>
      </vt:variant>
      <vt:variant>
        <vt:i4>1638450</vt:i4>
      </vt:variant>
      <vt:variant>
        <vt:i4>122</vt:i4>
      </vt:variant>
      <vt:variant>
        <vt:i4>0</vt:i4>
      </vt:variant>
      <vt:variant>
        <vt:i4>5</vt:i4>
      </vt:variant>
      <vt:variant>
        <vt:lpwstr/>
      </vt:variant>
      <vt:variant>
        <vt:lpwstr>_Toc466038307</vt:lpwstr>
      </vt:variant>
      <vt:variant>
        <vt:i4>1638450</vt:i4>
      </vt:variant>
      <vt:variant>
        <vt:i4>116</vt:i4>
      </vt:variant>
      <vt:variant>
        <vt:i4>0</vt:i4>
      </vt:variant>
      <vt:variant>
        <vt:i4>5</vt:i4>
      </vt:variant>
      <vt:variant>
        <vt:lpwstr/>
      </vt:variant>
      <vt:variant>
        <vt:lpwstr>_Toc466038306</vt:lpwstr>
      </vt:variant>
      <vt:variant>
        <vt:i4>1638450</vt:i4>
      </vt:variant>
      <vt:variant>
        <vt:i4>110</vt:i4>
      </vt:variant>
      <vt:variant>
        <vt:i4>0</vt:i4>
      </vt:variant>
      <vt:variant>
        <vt:i4>5</vt:i4>
      </vt:variant>
      <vt:variant>
        <vt:lpwstr/>
      </vt:variant>
      <vt:variant>
        <vt:lpwstr>_Toc466038305</vt:lpwstr>
      </vt:variant>
      <vt:variant>
        <vt:i4>1638450</vt:i4>
      </vt:variant>
      <vt:variant>
        <vt:i4>104</vt:i4>
      </vt:variant>
      <vt:variant>
        <vt:i4>0</vt:i4>
      </vt:variant>
      <vt:variant>
        <vt:i4>5</vt:i4>
      </vt:variant>
      <vt:variant>
        <vt:lpwstr/>
      </vt:variant>
      <vt:variant>
        <vt:lpwstr>_Toc466038304</vt:lpwstr>
      </vt:variant>
      <vt:variant>
        <vt:i4>1638450</vt:i4>
      </vt:variant>
      <vt:variant>
        <vt:i4>98</vt:i4>
      </vt:variant>
      <vt:variant>
        <vt:i4>0</vt:i4>
      </vt:variant>
      <vt:variant>
        <vt:i4>5</vt:i4>
      </vt:variant>
      <vt:variant>
        <vt:lpwstr/>
      </vt:variant>
      <vt:variant>
        <vt:lpwstr>_Toc466038303</vt:lpwstr>
      </vt:variant>
      <vt:variant>
        <vt:i4>1638450</vt:i4>
      </vt:variant>
      <vt:variant>
        <vt:i4>92</vt:i4>
      </vt:variant>
      <vt:variant>
        <vt:i4>0</vt:i4>
      </vt:variant>
      <vt:variant>
        <vt:i4>5</vt:i4>
      </vt:variant>
      <vt:variant>
        <vt:lpwstr/>
      </vt:variant>
      <vt:variant>
        <vt:lpwstr>_Toc466038302</vt:lpwstr>
      </vt:variant>
      <vt:variant>
        <vt:i4>1638450</vt:i4>
      </vt:variant>
      <vt:variant>
        <vt:i4>86</vt:i4>
      </vt:variant>
      <vt:variant>
        <vt:i4>0</vt:i4>
      </vt:variant>
      <vt:variant>
        <vt:i4>5</vt:i4>
      </vt:variant>
      <vt:variant>
        <vt:lpwstr/>
      </vt:variant>
      <vt:variant>
        <vt:lpwstr>_Toc466038301</vt:lpwstr>
      </vt:variant>
      <vt:variant>
        <vt:i4>1638450</vt:i4>
      </vt:variant>
      <vt:variant>
        <vt:i4>80</vt:i4>
      </vt:variant>
      <vt:variant>
        <vt:i4>0</vt:i4>
      </vt:variant>
      <vt:variant>
        <vt:i4>5</vt:i4>
      </vt:variant>
      <vt:variant>
        <vt:lpwstr/>
      </vt:variant>
      <vt:variant>
        <vt:lpwstr>_Toc466038300</vt:lpwstr>
      </vt:variant>
      <vt:variant>
        <vt:i4>1048627</vt:i4>
      </vt:variant>
      <vt:variant>
        <vt:i4>74</vt:i4>
      </vt:variant>
      <vt:variant>
        <vt:i4>0</vt:i4>
      </vt:variant>
      <vt:variant>
        <vt:i4>5</vt:i4>
      </vt:variant>
      <vt:variant>
        <vt:lpwstr/>
      </vt:variant>
      <vt:variant>
        <vt:lpwstr>_Toc466038299</vt:lpwstr>
      </vt:variant>
      <vt:variant>
        <vt:i4>1048627</vt:i4>
      </vt:variant>
      <vt:variant>
        <vt:i4>68</vt:i4>
      </vt:variant>
      <vt:variant>
        <vt:i4>0</vt:i4>
      </vt:variant>
      <vt:variant>
        <vt:i4>5</vt:i4>
      </vt:variant>
      <vt:variant>
        <vt:lpwstr/>
      </vt:variant>
      <vt:variant>
        <vt:lpwstr>_Toc466038298</vt:lpwstr>
      </vt:variant>
      <vt:variant>
        <vt:i4>1048627</vt:i4>
      </vt:variant>
      <vt:variant>
        <vt:i4>62</vt:i4>
      </vt:variant>
      <vt:variant>
        <vt:i4>0</vt:i4>
      </vt:variant>
      <vt:variant>
        <vt:i4>5</vt:i4>
      </vt:variant>
      <vt:variant>
        <vt:lpwstr/>
      </vt:variant>
      <vt:variant>
        <vt:lpwstr>_Toc466038297</vt:lpwstr>
      </vt:variant>
      <vt:variant>
        <vt:i4>1048627</vt:i4>
      </vt:variant>
      <vt:variant>
        <vt:i4>56</vt:i4>
      </vt:variant>
      <vt:variant>
        <vt:i4>0</vt:i4>
      </vt:variant>
      <vt:variant>
        <vt:i4>5</vt:i4>
      </vt:variant>
      <vt:variant>
        <vt:lpwstr/>
      </vt:variant>
      <vt:variant>
        <vt:lpwstr>_Toc466038296</vt:lpwstr>
      </vt:variant>
      <vt:variant>
        <vt:i4>1048627</vt:i4>
      </vt:variant>
      <vt:variant>
        <vt:i4>50</vt:i4>
      </vt:variant>
      <vt:variant>
        <vt:i4>0</vt:i4>
      </vt:variant>
      <vt:variant>
        <vt:i4>5</vt:i4>
      </vt:variant>
      <vt:variant>
        <vt:lpwstr/>
      </vt:variant>
      <vt:variant>
        <vt:lpwstr>_Toc466038295</vt:lpwstr>
      </vt:variant>
      <vt:variant>
        <vt:i4>1048627</vt:i4>
      </vt:variant>
      <vt:variant>
        <vt:i4>44</vt:i4>
      </vt:variant>
      <vt:variant>
        <vt:i4>0</vt:i4>
      </vt:variant>
      <vt:variant>
        <vt:i4>5</vt:i4>
      </vt:variant>
      <vt:variant>
        <vt:lpwstr/>
      </vt:variant>
      <vt:variant>
        <vt:lpwstr>_Toc466038293</vt:lpwstr>
      </vt:variant>
      <vt:variant>
        <vt:i4>1048627</vt:i4>
      </vt:variant>
      <vt:variant>
        <vt:i4>38</vt:i4>
      </vt:variant>
      <vt:variant>
        <vt:i4>0</vt:i4>
      </vt:variant>
      <vt:variant>
        <vt:i4>5</vt:i4>
      </vt:variant>
      <vt:variant>
        <vt:lpwstr/>
      </vt:variant>
      <vt:variant>
        <vt:lpwstr>_Toc466038292</vt:lpwstr>
      </vt:variant>
      <vt:variant>
        <vt:i4>1048627</vt:i4>
      </vt:variant>
      <vt:variant>
        <vt:i4>32</vt:i4>
      </vt:variant>
      <vt:variant>
        <vt:i4>0</vt:i4>
      </vt:variant>
      <vt:variant>
        <vt:i4>5</vt:i4>
      </vt:variant>
      <vt:variant>
        <vt:lpwstr/>
      </vt:variant>
      <vt:variant>
        <vt:lpwstr>_Toc466038291</vt:lpwstr>
      </vt:variant>
      <vt:variant>
        <vt:i4>1048627</vt:i4>
      </vt:variant>
      <vt:variant>
        <vt:i4>26</vt:i4>
      </vt:variant>
      <vt:variant>
        <vt:i4>0</vt:i4>
      </vt:variant>
      <vt:variant>
        <vt:i4>5</vt:i4>
      </vt:variant>
      <vt:variant>
        <vt:lpwstr/>
      </vt:variant>
      <vt:variant>
        <vt:lpwstr>_Toc466038290</vt:lpwstr>
      </vt:variant>
      <vt:variant>
        <vt:i4>1114163</vt:i4>
      </vt:variant>
      <vt:variant>
        <vt:i4>20</vt:i4>
      </vt:variant>
      <vt:variant>
        <vt:i4>0</vt:i4>
      </vt:variant>
      <vt:variant>
        <vt:i4>5</vt:i4>
      </vt:variant>
      <vt:variant>
        <vt:lpwstr/>
      </vt:variant>
      <vt:variant>
        <vt:lpwstr>_Toc466038289</vt:lpwstr>
      </vt:variant>
      <vt:variant>
        <vt:i4>1114163</vt:i4>
      </vt:variant>
      <vt:variant>
        <vt:i4>14</vt:i4>
      </vt:variant>
      <vt:variant>
        <vt:i4>0</vt:i4>
      </vt:variant>
      <vt:variant>
        <vt:i4>5</vt:i4>
      </vt:variant>
      <vt:variant>
        <vt:lpwstr/>
      </vt:variant>
      <vt:variant>
        <vt:lpwstr>_Toc466038288</vt:lpwstr>
      </vt:variant>
      <vt:variant>
        <vt:i4>1114163</vt:i4>
      </vt:variant>
      <vt:variant>
        <vt:i4>8</vt:i4>
      </vt:variant>
      <vt:variant>
        <vt:i4>0</vt:i4>
      </vt:variant>
      <vt:variant>
        <vt:i4>5</vt:i4>
      </vt:variant>
      <vt:variant>
        <vt:lpwstr/>
      </vt:variant>
      <vt:variant>
        <vt:lpwstr>_Toc466038287</vt:lpwstr>
      </vt:variant>
      <vt:variant>
        <vt:i4>1114163</vt:i4>
      </vt:variant>
      <vt:variant>
        <vt:i4>2</vt:i4>
      </vt:variant>
      <vt:variant>
        <vt:i4>0</vt:i4>
      </vt:variant>
      <vt:variant>
        <vt:i4>5</vt:i4>
      </vt:variant>
      <vt:variant>
        <vt:lpwstr/>
      </vt:variant>
      <vt:variant>
        <vt:lpwstr>_Toc466038286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Nguyen Viet Dung</cp:lastModifiedBy>
  <cp:revision>3</cp:revision>
  <cp:lastPrinted>2024-07-31T21:33:00Z</cp:lastPrinted>
  <dcterms:created xsi:type="dcterms:W3CDTF">2024-07-31T21:32:00Z</dcterms:created>
  <dcterms:modified xsi:type="dcterms:W3CDTF">2024-07-31T21:33:00Z</dcterms:modified>
</cp:coreProperties>
</file>