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8"/>
        <w:gridCol w:w="5528"/>
        <w:tblGridChange w:id="0">
          <w:tblGrid>
            <w:gridCol w:w="4678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spacing w:before="0" w:lineRule="auto"/>
              <w:ind w:left="0" w:right="-104" w:firstLine="0"/>
              <w:jc w:val="left"/>
              <w:rPr>
                <w:rFonts w:ascii="Times New Roman" w:cs="Times New Roman" w:eastAsia="Times New Roman" w:hAnsi="Times New Roman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5"/>
                <w:szCs w:val="25"/>
                <w:rtl w:val="0"/>
              </w:rPr>
              <w:t xml:space="preserve">HỘI TRUYỀN THÔNG SỐ VIỆT NAM</w:t>
            </w:r>
          </w:p>
          <w:p w:rsidR="00000000" w:rsidDel="00000000" w:rsidP="00000000" w:rsidRDefault="00000000" w:rsidRPr="00000000" w14:paraId="00000003">
            <w:pPr>
              <w:pStyle w:val="Heading1"/>
              <w:spacing w:before="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38100</wp:posOffset>
                      </wp:positionV>
                      <wp:extent cx="2215661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38170" y="3780000"/>
                                <a:ext cx="22156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38100</wp:posOffset>
                      </wp:positionV>
                      <wp:extent cx="2215661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5661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4">
            <w:pPr>
              <w:tabs>
                <w:tab w:val="left" w:leader="none" w:pos="4588"/>
              </w:tabs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120" w:before="120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DANH SÁCH CÁC TỔ CHỨC, GIẢI PHÁP, SẢN PHẨM </w:t>
      </w:r>
    </w:p>
    <w:p w:rsidR="00000000" w:rsidDel="00000000" w:rsidP="00000000" w:rsidRDefault="00000000" w:rsidRPr="00000000" w14:paraId="00000006">
      <w:pPr>
        <w:spacing w:after="120" w:before="120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ĐẠT GIẢI THƯỞNG CHUYỂN ĐỔI SỐ VIỆT NAM NĂM 2024</w:t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1"/>
        </w:numPr>
        <w:spacing w:after="120" w:before="120" w:lineRule="auto"/>
        <w:ind w:left="720" w:hanging="360"/>
        <w:rPr>
          <w:b w:val="1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Hạng mục 1: Cơ quan nhà nước chuyển đổi số xuất sắc</w:t>
      </w:r>
      <w:r w:rsidDel="00000000" w:rsidR="00000000" w:rsidRPr="00000000">
        <w:rPr>
          <w:rtl w:val="0"/>
        </w:rPr>
      </w:r>
    </w:p>
    <w:tbl>
      <w:tblPr>
        <w:tblStyle w:val="Table2"/>
        <w:tblW w:w="98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6"/>
        <w:gridCol w:w="4394"/>
        <w:gridCol w:w="4819"/>
        <w:tblGridChange w:id="0">
          <w:tblGrid>
            <w:gridCol w:w="596"/>
            <w:gridCol w:w="4394"/>
            <w:gridCol w:w="481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88" w:lineRule="auto"/>
              <w:jc w:val="center"/>
              <w:rPr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0000"/>
                <w:sz w:val="27"/>
                <w:szCs w:val="27"/>
                <w:rtl w:val="0"/>
              </w:rPr>
              <w:t xml:space="preserve">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88" w:lineRule="auto"/>
              <w:jc w:val="center"/>
              <w:rPr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0000"/>
                <w:sz w:val="27"/>
                <w:szCs w:val="27"/>
                <w:rtl w:val="0"/>
              </w:rPr>
              <w:t xml:space="preserve">Tổ chức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88" w:lineRule="auto"/>
              <w:jc w:val="center"/>
              <w:rPr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0000"/>
                <w:sz w:val="27"/>
                <w:szCs w:val="27"/>
                <w:rtl w:val="0"/>
              </w:rPr>
              <w:t xml:space="preserve">Giải pháp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Uỷ ban nhân dân thành phố Đà Nẵng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Hệ thống Giám sát điều hành thông minh thành phố Đà Nẵng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Ủy ban nhân dân tỉnh Lạng Sơn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Giải pháp Chuyển đổi số trong ngành Giáo dục và Đào tạo tỉnh Lạng Sơn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Sở Thông tin và Truyền thông thành phố Đà Nẵng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Nền tảng Hành trình số (xe 115 số)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Kho bạc Nhà nước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Giải pháp Chuyển đổi số từ Kho bạc giao dịch truyền thống sang Kho bạc điện tử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Sở Thông tin và Truyền thông tỉnh Tây Ninh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Bộ giải pháp công nghệ số hỗ trợ phát triển chính quyền số, kinh tế số, xã hội số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88" w:lineRule="auto"/>
              <w:ind w:right="-186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Trung tâm Dữ liệu Quốc gia về dân cư - Cục CSQLHC về TTXH, Bộ Công 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Dịch vụ công trực tuyến cấp phiếu Lý lịch tư pháp trên ứng dụng VNeID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Thành Đoàn TP. Hồ Chí Minh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Ứng dụng Tuổi trẻ Thành phố mang tên Bác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Cục Đăng ký quốc gia giao dịch bảo đảm, Bộ Tư pháp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Hệ thống đăng ký trực tuyến về biện pháp bảo đảm bằng động sản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Cục Quản lý xuất nhập cảnh, Bộ Công 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88" w:lineRule="auto"/>
              <w:jc w:val="both"/>
              <w:rPr>
                <w:color w:val="000000"/>
                <w:sz w:val="27"/>
                <w:szCs w:val="27"/>
                <w:highlight w:val="yellow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Dịch vụ công trực tuyến cấp hộ chiếu phổ thông ở trong nước và Dịch vụ công trực tuyến cấp thị thực điện tử theo đề nghị của người nước ngoài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Ủy ban nhân dân thành phố Thủ Đức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Bộ giải pháp thực hiện hiệu quả chuyển đổi số trên địa bàn thành phố Thủ Đức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Viện Kiểm sát nhân dân TP. Hồ Chí Minh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Phần mềm quản lý án hình sự 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2. Hạng mục 2: Doanh nghiệp, đơn vị sự nghiệp chuyển đổi số xuất sắc</w:t>
      </w:r>
    </w:p>
    <w:tbl>
      <w:tblPr>
        <w:tblStyle w:val="Table3"/>
        <w:tblW w:w="9871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4422"/>
        <w:gridCol w:w="4819"/>
        <w:tblGridChange w:id="0">
          <w:tblGrid>
            <w:gridCol w:w="630"/>
            <w:gridCol w:w="4422"/>
            <w:gridCol w:w="481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88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0000"/>
                <w:sz w:val="27"/>
                <w:szCs w:val="27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88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0000"/>
                <w:sz w:val="27"/>
                <w:szCs w:val="27"/>
                <w:rtl w:val="0"/>
              </w:rPr>
              <w:t xml:space="preserve">Tổ chức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88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0000"/>
                <w:sz w:val="27"/>
                <w:szCs w:val="27"/>
                <w:rtl w:val="0"/>
              </w:rPr>
              <w:t xml:space="preserve">Giải pháp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Ngân hàng TMCP Nam 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Điểm giao dịch số ONEBANK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Bảo tàng Mỹ thuật Việt Nam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Không gian Triển lãm Mỹ thuật trực tuyến - VAES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Ngân hàng TMCP Quân đội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Phần mềm quản lý bán hàng mSeller, Vòng thời trang thanh toán MB Stellar, Thẻ MB JCB Be The Sky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Tổng Công ty Cổ phẩn Bưu chính Viettel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Ứng dụng các giải pháp công nghệ trong quy trình vận hành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Công ty Cổ phần Đường Quảng Ngãi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Hệ thống trực tuyến quản lý vùng nguyên liệu, tiếp nhận, thanh toán tiền mía tại Nhà máy đường An Khê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Thư viện Trường Đại học Nha Trang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Chuyển đổi số nguồn học liệu của Thư viện phục vụ đào tạo, nghiên cứu khoa học và phục vụ cộng đồng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Trung tâm Bảo tồn Di tích Cố đô Huế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Ứng dụng công nghệ số bảo tồn và phát huy giá trị di sản Cố đô Huế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Bệnh viện Nhân dân Gia Định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Kios tiếp nhận thông minh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Bệnh viện Đa khoa tỉnh Hòa Bình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Bệnh án điện tử (EMR) thay thế hồ sơ bệnh án giấy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Ngân hàng TMCP Đầu tư và Phát triển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88" w:lineRule="auto"/>
              <w:jc w:val="both"/>
              <w:rPr>
                <w:sz w:val="27"/>
                <w:szCs w:val="27"/>
                <w:highlight w:val="yellow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BIDV Payment Hub; Chuyển đổi dữ liệu Delta vào hệ thống Core Banking; Hệ thống BIDV Open API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Ngân hàng Thương mại Cổ phần Tiên Phong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App TPBank, LiveBank 24/7, TPBank Biz, Ứng dụng chuyển đổi số trong hoạt động vận hành nội bộ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Trường Đại học Trà Vinh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88" w:lineRule="auto"/>
              <w:jc w:val="both"/>
              <w:rPr>
                <w:sz w:val="27"/>
                <w:szCs w:val="27"/>
                <w:highlight w:val="yellow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Nâng cấp hệ thống TMS Ver2 với tính năng ký số theo lô, quản lý Khoa học Công nghệ, đồng bộ MS Teams và TVU Mobile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Ngân hàng Cathay United Bank - Chi nhánh TP. Hồ Chí Minh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Ứng dụng cho vay tiêu dùng trực tuyến CUB Vietnam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88" w:lineRule="auto"/>
              <w:ind w:right="28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Công ty TNHH J&amp;T Express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Giải pháp hậu cần thông minh - Smart e-logistic solution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Tổng Công ty Cổ phần Bảo hiểm Quân đội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Ứng dụng MIC 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41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3. Hạng mục 3: Sản phẩm, dịch vụ, giải pháp chuyển đổi số tiêu biểu</w:t>
      </w:r>
    </w:p>
    <w:tbl>
      <w:tblPr>
        <w:tblStyle w:val="Table4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7"/>
        <w:gridCol w:w="4380"/>
        <w:gridCol w:w="4819"/>
        <w:tblGridChange w:id="0">
          <w:tblGrid>
            <w:gridCol w:w="577"/>
            <w:gridCol w:w="4380"/>
            <w:gridCol w:w="48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88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TT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88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Giải pháp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88" w:lineRule="auto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Tổ chức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Trục Phát triển Hợp đồng điện tử Việt Nam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Trung tâm Tin học và Công nghệ số, Cục Thương mại điện tử và Kinh tế số, Bộ Công thương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Nền tảng Agribank Open API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Ngân hàng Nông nghiệp và Phát triển Nông thôn Việt Nam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Hệ sinh thái giải pháp ứng dụng QRcode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Công ty Cổ phần iCheck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Clinky - Nền tảng bán hàng và chăm sóc khách hàng đa kênh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88" w:lineRule="auto"/>
              <w:jc w:val="both"/>
              <w:rPr>
                <w:sz w:val="27"/>
                <w:szCs w:val="27"/>
                <w:highlight w:val="yellow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Công ty TNHH Kyanon Digital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88" w:lineRule="auto"/>
              <w:jc w:val="both"/>
              <w:rPr>
                <w:sz w:val="27"/>
                <w:szCs w:val="27"/>
                <w:highlight w:val="yellow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3 Giải pháp: Quản lý trạm biến áp và lưới điện hạ áp online S3M-SGMV, Giám sát và điều khiển hệ thống điện mặt trời S3M-SEMS-PV, Quản lý năng lượng hiệu quả S3M-SEMS-L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Công ty TNHH Giải pháp lưới điện thông minh 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Bộ giải pháp: Cổng thanh toán AppotaPay và SmartPOS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Công ty Cổ phần AppotaPay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Hệ sinh thái giáo dục số MobiEdu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Tổng công ty Viễn thông MobiFone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88" w:lineRule="auto"/>
              <w:jc w:val="both"/>
              <w:rPr>
                <w:color w:val="000000"/>
                <w:sz w:val="27"/>
                <w:szCs w:val="27"/>
                <w:highlight w:val="yellow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Hệ thống thông tin Quản lý, thu thập và khai thác dữ liệu đo đếm ranh giới đầu nguồn của EVN (MDMS EVN)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Công ty Viễn thông Điện lực và Công nghệ thông tin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Phần mềm tính toán tổn thất điện năng theo ngày cho các đơn vị trực thuộc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Tổng công ty Điện lực Miền Nam - Tập đoàn Điện lực Việt Nam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Hệ thống màn hình kỹ thuật số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Công ty cổ phần CN TTTT Thiên Hy Long Việt Nam - Chicilon Media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288" w:lineRule="auto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Nền tảng Hồ sơ Sức khỏe Điện tử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Tổng Công ty Giải pháp Doanh nghiệp Viettel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Giải pháp điều hành toàn trình dự án xây dựng tập trung IOC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Tổng Công ty CP Công trình Viettel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Hệ sinh thái tài chính số Viettel Money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Tổng công ty Dịch vụ số Viettel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Giải pháp Bảo hiểm Confidon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Công ty TNHH Phần mềm FPT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Nền tảng phân tích dữ liệu video ứng dụng trí tuệ nhân tạo akaCam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Công ty TNHH Phần mềm FPT</w:t>
            </w:r>
          </w:p>
        </w:tc>
      </w:tr>
    </w:tbl>
    <w:p w:rsidR="00000000" w:rsidDel="00000000" w:rsidP="00000000" w:rsidRDefault="00000000" w:rsidRPr="00000000" w14:paraId="00000091">
      <w:pPr>
        <w:spacing w:line="288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41" w:line="288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Hạng mục 4: Sản phẩm, giải pháp chuyển đổi số vì cộng đồng</w:t>
      </w:r>
    </w:p>
    <w:tbl>
      <w:tblPr>
        <w:tblStyle w:val="Table5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7"/>
        <w:gridCol w:w="4380"/>
        <w:gridCol w:w="4819"/>
        <w:tblGridChange w:id="0">
          <w:tblGrid>
            <w:gridCol w:w="577"/>
            <w:gridCol w:w="4380"/>
            <w:gridCol w:w="48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Giải pháp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Tổ chức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Mô hình Tổ công nghệ số cộng đồng trên địa bàn tỉnh Lạng Sơn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Ủy ban nhân dân tỉnh Lạng Sơn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Hệ thống Quản lý tàu cá, góp phần xóa thẻ vàng IUU và Hỗ trợ ngư dân trên biển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288" w:lineRule="auto"/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Công ty TNHH GeoAI Việt Nam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Zalopay QR đa năng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Công ty Cổ phần ZION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288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Sân chơi trí tuệ trực tuyến Violympic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88" w:lineRule="auto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color w:val="000000"/>
                <w:sz w:val="27"/>
                <w:szCs w:val="27"/>
                <w:rtl w:val="0"/>
              </w:rPr>
              <w:t xml:space="preserve">Công ty TNHH FPT 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line="288" w:lineRule="auto"/>
        <w:rPr>
          <w:b w:val="1"/>
          <w:i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Hạng mục 5: Sản phẩm, dịch vụ, giải pháp nước ngoài</w:t>
      </w:r>
    </w:p>
    <w:p w:rsidR="00000000" w:rsidDel="00000000" w:rsidP="00000000" w:rsidRDefault="00000000" w:rsidRPr="00000000" w14:paraId="000000A5">
      <w:pPr>
        <w:spacing w:line="288" w:lineRule="auto"/>
        <w:ind w:left="851" w:firstLine="0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Không có Sản phẩm, dịch vụ, giải pháp đạt Giải./.</w:t>
      </w:r>
    </w:p>
    <w:p w:rsidR="00000000" w:rsidDel="00000000" w:rsidP="00000000" w:rsidRDefault="00000000" w:rsidRPr="00000000" w14:paraId="000000A6">
      <w:pPr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4055.0" w:type="dxa"/>
        <w:jc w:val="left"/>
        <w:tblInd w:w="47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55"/>
        <w:tblGridChange w:id="0">
          <w:tblGrid>
            <w:gridCol w:w="40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vi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3" w:lineRule="auto"/>
      <w:ind w:left="815" w:right="996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